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5" w:rsidRPr="000F1045" w:rsidRDefault="000F1045" w:rsidP="000F104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0F1045" w:rsidRPr="000F1045" w:rsidRDefault="000F1045" w:rsidP="000F104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sz w:val="24"/>
          <w:szCs w:val="24"/>
          <w:lang w:val="lt-LT"/>
        </w:rPr>
        <w:t>Direktoriaus</w:t>
      </w:r>
    </w:p>
    <w:p w:rsidR="000F1045" w:rsidRPr="000F1045" w:rsidRDefault="000F1045" w:rsidP="000F104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  <w:t>2015 m. rugsėjo 1</w:t>
      </w:r>
      <w:r w:rsidRPr="000F104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</w:t>
      </w:r>
    </w:p>
    <w:p w:rsidR="000F1045" w:rsidRPr="000F1045" w:rsidRDefault="000F1045" w:rsidP="000F104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F1045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0F1045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ab/>
        <w:t>įsakymu Nr. (1.3.)-V1-208</w:t>
      </w:r>
    </w:p>
    <w:p w:rsidR="000F1045" w:rsidRDefault="000F1045" w:rsidP="000F1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C6" w:rsidRPr="003314FD" w:rsidRDefault="00375BC6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FD">
        <w:rPr>
          <w:rFonts w:ascii="Times New Roman" w:hAnsi="Times New Roman" w:cs="Times New Roman"/>
          <w:b/>
          <w:sz w:val="24"/>
          <w:szCs w:val="24"/>
        </w:rPr>
        <w:t>PRIENŲ R. JIEZNO GIMNAZIJOS</w:t>
      </w:r>
      <w:bookmarkStart w:id="0" w:name="_GoBack"/>
      <w:bookmarkEnd w:id="0"/>
    </w:p>
    <w:p w:rsidR="00375BC6" w:rsidRPr="009C65D1" w:rsidRDefault="00375BC6" w:rsidP="00331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BC6" w:rsidRDefault="00375BC6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2015–2016 MOKSLO METŲ VEIKLOS PLANAS</w:t>
      </w:r>
    </w:p>
    <w:p w:rsidR="00DB5FB3" w:rsidRDefault="00DB5FB3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FD" w:rsidRDefault="003314FD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FD" w:rsidRDefault="00DB5FB3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BENDROJI DALIS</w:t>
      </w:r>
    </w:p>
    <w:p w:rsidR="00D226EC" w:rsidRDefault="00D226EC" w:rsidP="00331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EC" w:rsidRPr="0002024B" w:rsidRDefault="00D226EC" w:rsidP="005F7BB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 xml:space="preserve">Prienų </w:t>
      </w:r>
      <w:r>
        <w:rPr>
          <w:rFonts w:ascii="Times New Roman" w:hAnsi="Times New Roman" w:cs="Times New Roman"/>
          <w:sz w:val="24"/>
          <w:szCs w:val="24"/>
        </w:rPr>
        <w:t>r. Jiezno gimnazijos 2015-2016</w:t>
      </w:r>
      <w:r w:rsidRPr="0002024B">
        <w:rPr>
          <w:rFonts w:ascii="Times New Roman" w:hAnsi="Times New Roman" w:cs="Times New Roman"/>
          <w:sz w:val="24"/>
          <w:szCs w:val="24"/>
        </w:rPr>
        <w:t xml:space="preserve"> m.m. veiklos planas parengtas vadovaujantis:</w:t>
      </w:r>
    </w:p>
    <w:p w:rsidR="00D226EC" w:rsidRPr="0002024B" w:rsidRDefault="00D226EC" w:rsidP="005F7BBB">
      <w:pPr>
        <w:numPr>
          <w:ilvl w:val="1"/>
          <w:numId w:val="2"/>
        </w:numPr>
        <w:tabs>
          <w:tab w:val="clear" w:pos="240"/>
          <w:tab w:val="num" w:pos="1080"/>
          <w:tab w:val="left" w:pos="162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>Lietuvos Respublikos švietimo įstatymu (</w:t>
      </w:r>
      <w:r w:rsidRPr="0002024B">
        <w:rPr>
          <w:rFonts w:ascii="Times New Roman" w:hAnsi="Times New Roman" w:cs="Times New Roman"/>
          <w:bCs/>
          <w:iCs/>
          <w:sz w:val="24"/>
          <w:szCs w:val="24"/>
        </w:rPr>
        <w:t>nauja įstatymo redakcija 2011 m. liepos 1 d.:</w:t>
      </w:r>
      <w:r w:rsidRPr="0002024B">
        <w:rPr>
          <w:rFonts w:ascii="Times New Roman" w:hAnsi="Times New Roman" w:cs="Times New Roman"/>
          <w:iCs/>
          <w:sz w:val="24"/>
          <w:szCs w:val="24"/>
        </w:rPr>
        <w:t xml:space="preserve"> Nr. </w:t>
      </w:r>
      <w:hyperlink r:id="rId8" w:history="1">
        <w:r w:rsidRPr="0002024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XI-1281</w:t>
        </w:r>
      </w:hyperlink>
      <w:r w:rsidRPr="0002024B">
        <w:rPr>
          <w:rFonts w:ascii="Times New Roman" w:hAnsi="Times New Roman" w:cs="Times New Roman"/>
          <w:iCs/>
          <w:sz w:val="24"/>
          <w:szCs w:val="24"/>
        </w:rPr>
        <w:t xml:space="preserve">, 2011-03-17, </w:t>
      </w:r>
      <w:proofErr w:type="gramStart"/>
      <w:r w:rsidRPr="0002024B">
        <w:rPr>
          <w:rFonts w:ascii="Times New Roman" w:hAnsi="Times New Roman" w:cs="Times New Roman"/>
          <w:iCs/>
          <w:sz w:val="24"/>
          <w:szCs w:val="24"/>
        </w:rPr>
        <w:t>Žin.,</w:t>
      </w:r>
      <w:proofErr w:type="gramEnd"/>
      <w:r w:rsidRPr="0002024B">
        <w:rPr>
          <w:rFonts w:ascii="Times New Roman" w:hAnsi="Times New Roman" w:cs="Times New Roman"/>
          <w:iCs/>
          <w:sz w:val="24"/>
          <w:szCs w:val="24"/>
        </w:rPr>
        <w:t xml:space="preserve"> 2011, Nr. 38-1804 (2011-03-31)</w:t>
      </w:r>
      <w:r w:rsidRPr="0002024B">
        <w:rPr>
          <w:rFonts w:ascii="Times New Roman" w:hAnsi="Times New Roman" w:cs="Times New Roman"/>
          <w:sz w:val="24"/>
          <w:szCs w:val="24"/>
        </w:rPr>
        <w:t>.</w:t>
      </w:r>
    </w:p>
    <w:p w:rsidR="00D77171" w:rsidRDefault="00D226EC" w:rsidP="005F7BBB">
      <w:pPr>
        <w:numPr>
          <w:ilvl w:val="1"/>
          <w:numId w:val="2"/>
        </w:numPr>
        <w:tabs>
          <w:tab w:val="clear" w:pos="240"/>
          <w:tab w:val="num" w:pos="1080"/>
          <w:tab w:val="left" w:pos="162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 xml:space="preserve">Prienų </w:t>
      </w:r>
      <w:r>
        <w:rPr>
          <w:rFonts w:ascii="Times New Roman" w:hAnsi="Times New Roman" w:cs="Times New Roman"/>
          <w:sz w:val="24"/>
          <w:szCs w:val="24"/>
        </w:rPr>
        <w:t xml:space="preserve">r. Jiezno gimnazijos </w:t>
      </w:r>
      <w:r w:rsidRPr="0002024B">
        <w:rPr>
          <w:rFonts w:ascii="Times New Roman" w:hAnsi="Times New Roman" w:cs="Times New Roman"/>
          <w:sz w:val="24"/>
          <w:szCs w:val="24"/>
        </w:rPr>
        <w:t xml:space="preserve">2013-2015 m. strateginiu veiklos planu. </w:t>
      </w:r>
    </w:p>
    <w:p w:rsidR="00D77171" w:rsidRDefault="00D226EC" w:rsidP="005F7BBB">
      <w:pPr>
        <w:numPr>
          <w:ilvl w:val="1"/>
          <w:numId w:val="2"/>
        </w:numPr>
        <w:tabs>
          <w:tab w:val="clear" w:pos="240"/>
          <w:tab w:val="num" w:pos="1080"/>
          <w:tab w:val="left" w:pos="162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 xml:space="preserve">Prienų </w:t>
      </w:r>
      <w:r w:rsidR="00DB5FB3">
        <w:rPr>
          <w:rFonts w:ascii="Times New Roman" w:hAnsi="Times New Roman" w:cs="Times New Roman"/>
          <w:sz w:val="24"/>
          <w:szCs w:val="24"/>
        </w:rPr>
        <w:t>r. Jiezno gimnazijos 2014-2015</w:t>
      </w:r>
      <w:r w:rsidRPr="0002024B">
        <w:rPr>
          <w:rFonts w:ascii="Times New Roman" w:hAnsi="Times New Roman" w:cs="Times New Roman"/>
          <w:sz w:val="24"/>
          <w:szCs w:val="24"/>
        </w:rPr>
        <w:t xml:space="preserve"> m.m. veiklos </w:t>
      </w:r>
      <w:r>
        <w:rPr>
          <w:rFonts w:ascii="Times New Roman" w:hAnsi="Times New Roman" w:cs="Times New Roman"/>
          <w:sz w:val="24"/>
          <w:szCs w:val="24"/>
        </w:rPr>
        <w:t xml:space="preserve">planu. </w:t>
      </w:r>
    </w:p>
    <w:p w:rsidR="00D226EC" w:rsidRPr="0002024B" w:rsidRDefault="00D226EC" w:rsidP="005F7BBB">
      <w:pPr>
        <w:numPr>
          <w:ilvl w:val="1"/>
          <w:numId w:val="2"/>
        </w:numPr>
        <w:tabs>
          <w:tab w:val="clear" w:pos="240"/>
          <w:tab w:val="num" w:pos="1080"/>
          <w:tab w:val="left" w:pos="162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Prienų r. Jiezno gimnazijos išorinio vertinimo ataskaita.</w:t>
      </w:r>
    </w:p>
    <w:p w:rsidR="00DB5FB3" w:rsidRDefault="00D226EC" w:rsidP="00DB5FB3">
      <w:pPr>
        <w:tabs>
          <w:tab w:val="num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 xml:space="preserve">2. Prienų </w:t>
      </w:r>
      <w:r>
        <w:rPr>
          <w:rFonts w:ascii="Times New Roman" w:hAnsi="Times New Roman" w:cs="Times New Roman"/>
          <w:sz w:val="24"/>
          <w:szCs w:val="24"/>
        </w:rPr>
        <w:t>r. Jiezno gimnazijos 2015-2016</w:t>
      </w:r>
      <w:r w:rsidRPr="0002024B">
        <w:rPr>
          <w:rFonts w:ascii="Times New Roman" w:hAnsi="Times New Roman" w:cs="Times New Roman"/>
          <w:sz w:val="24"/>
          <w:szCs w:val="24"/>
        </w:rPr>
        <w:t xml:space="preserve"> m.m. veik</w:t>
      </w:r>
      <w:r w:rsidR="008A2CEF">
        <w:rPr>
          <w:rFonts w:ascii="Times New Roman" w:hAnsi="Times New Roman" w:cs="Times New Roman"/>
          <w:sz w:val="24"/>
          <w:szCs w:val="24"/>
        </w:rPr>
        <w:t>los planą rengė darbo grupė (</w:t>
      </w:r>
      <w:r w:rsidR="00DB5FB3" w:rsidRPr="00DB5FB3">
        <w:rPr>
          <w:rFonts w:ascii="Times New Roman" w:hAnsi="Times New Roman" w:cs="Times New Roman"/>
          <w:sz w:val="24"/>
          <w:szCs w:val="24"/>
        </w:rPr>
        <w:t xml:space="preserve">2015 m. gegužės 13 d. </w:t>
      </w:r>
      <w:r w:rsidR="008A2CEF">
        <w:rPr>
          <w:rFonts w:ascii="Times New Roman" w:hAnsi="Times New Roman" w:cs="Times New Roman"/>
          <w:sz w:val="24"/>
          <w:szCs w:val="24"/>
        </w:rPr>
        <w:t>dir</w:t>
      </w:r>
      <w:r w:rsidRPr="0002024B">
        <w:rPr>
          <w:rFonts w:ascii="Times New Roman" w:hAnsi="Times New Roman" w:cs="Times New Roman"/>
          <w:sz w:val="24"/>
          <w:szCs w:val="24"/>
        </w:rPr>
        <w:t xml:space="preserve">ektoriaus įsakymas </w:t>
      </w:r>
      <w:r w:rsidR="00DB5FB3" w:rsidRPr="00DB5FB3">
        <w:rPr>
          <w:rFonts w:ascii="Times New Roman" w:hAnsi="Times New Roman" w:cs="Times New Roman"/>
          <w:sz w:val="24"/>
          <w:szCs w:val="24"/>
        </w:rPr>
        <w:t>Nr. (1.3)-V1- 137</w:t>
      </w:r>
      <w:r w:rsidR="00DB5FB3">
        <w:rPr>
          <w:rFonts w:ascii="Times New Roman" w:hAnsi="Times New Roman" w:cs="Times New Roman"/>
          <w:sz w:val="24"/>
          <w:szCs w:val="24"/>
        </w:rPr>
        <w:t xml:space="preserve"> </w:t>
      </w:r>
      <w:r w:rsidRPr="0002024B">
        <w:rPr>
          <w:rFonts w:ascii="Times New Roman" w:hAnsi="Times New Roman" w:cs="Times New Roman"/>
          <w:sz w:val="24"/>
          <w:szCs w:val="24"/>
        </w:rPr>
        <w:t>„Dėl mokyklos metų veiklos plano rengimo darbo grupės sudarymo</w:t>
      </w:r>
      <w:proofErr w:type="gramStart"/>
      <w:r w:rsidR="00DB5FB3">
        <w:rPr>
          <w:rFonts w:ascii="Times New Roman" w:hAnsi="Times New Roman" w:cs="Times New Roman"/>
          <w:sz w:val="24"/>
          <w:szCs w:val="24"/>
        </w:rPr>
        <w:t>”:</w:t>
      </w:r>
      <w:proofErr w:type="gramEnd"/>
    </w:p>
    <w:p w:rsidR="00D226EC" w:rsidRPr="0002024B" w:rsidRDefault="00D226EC" w:rsidP="00DB5FB3">
      <w:pPr>
        <w:tabs>
          <w:tab w:val="num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24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Danutė Bajorienė</w:t>
      </w:r>
      <w:r w:rsidRPr="0002024B">
        <w:rPr>
          <w:rFonts w:ascii="Times New Roman" w:hAnsi="Times New Roman" w:cs="Times New Roman"/>
          <w:sz w:val="24"/>
          <w:szCs w:val="24"/>
        </w:rPr>
        <w:t xml:space="preserve"> –</w:t>
      </w:r>
      <w:r w:rsidR="0008053F">
        <w:rPr>
          <w:rFonts w:ascii="Times New Roman" w:hAnsi="Times New Roman" w:cs="Times New Roman"/>
          <w:sz w:val="24"/>
          <w:szCs w:val="24"/>
        </w:rPr>
        <w:t xml:space="preserve"> direktor</w:t>
      </w:r>
      <w:r w:rsidR="00DB5FB3">
        <w:rPr>
          <w:rFonts w:ascii="Times New Roman" w:hAnsi="Times New Roman" w:cs="Times New Roman"/>
          <w:sz w:val="24"/>
          <w:szCs w:val="24"/>
        </w:rPr>
        <w:t>iaus</w:t>
      </w:r>
      <w:r w:rsidR="0008053F">
        <w:rPr>
          <w:rFonts w:ascii="Times New Roman" w:hAnsi="Times New Roman" w:cs="Times New Roman"/>
          <w:sz w:val="24"/>
          <w:szCs w:val="24"/>
        </w:rPr>
        <w:t xml:space="preserve"> pavaduotoja ugdymui;</w:t>
      </w:r>
    </w:p>
    <w:p w:rsidR="00D226EC" w:rsidRDefault="00D226EC" w:rsidP="00DB5FB3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20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Nijolė Kuliešienė</w:t>
      </w:r>
      <w:r w:rsidRPr="0002024B">
        <w:rPr>
          <w:rFonts w:ascii="Times New Roman" w:hAnsi="Times New Roman" w:cs="Times New Roman"/>
          <w:sz w:val="24"/>
          <w:szCs w:val="24"/>
        </w:rPr>
        <w:t xml:space="preserve"> – lietu</w:t>
      </w:r>
      <w:r w:rsidR="0008053F">
        <w:rPr>
          <w:rFonts w:ascii="Times New Roman" w:hAnsi="Times New Roman" w:cs="Times New Roman"/>
          <w:sz w:val="24"/>
          <w:szCs w:val="24"/>
        </w:rPr>
        <w:t>vių kalbos mokytoja metodininkė;</w:t>
      </w:r>
    </w:p>
    <w:p w:rsidR="00D226EC" w:rsidRPr="0002024B" w:rsidRDefault="00D226EC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Birutė Dičkuvienė</w:t>
      </w:r>
      <w:r w:rsidRPr="0002024B">
        <w:rPr>
          <w:rFonts w:ascii="Times New Roman" w:hAnsi="Times New Roman" w:cs="Times New Roman"/>
          <w:sz w:val="24"/>
          <w:szCs w:val="24"/>
        </w:rPr>
        <w:t xml:space="preserve"> – lietu</w:t>
      </w:r>
      <w:r w:rsidR="0008053F">
        <w:rPr>
          <w:rFonts w:ascii="Times New Roman" w:hAnsi="Times New Roman" w:cs="Times New Roman"/>
          <w:sz w:val="24"/>
          <w:szCs w:val="24"/>
        </w:rPr>
        <w:t>vių kalbos mokytoja metodininkė;</w:t>
      </w:r>
    </w:p>
    <w:p w:rsidR="00D226EC" w:rsidRPr="0002024B" w:rsidRDefault="00D226EC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020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Nijolė Aleškevičienė</w:t>
      </w:r>
      <w:r w:rsidRPr="0002024B">
        <w:rPr>
          <w:rFonts w:ascii="Times New Roman" w:hAnsi="Times New Roman" w:cs="Times New Roman"/>
          <w:sz w:val="24"/>
          <w:szCs w:val="24"/>
        </w:rPr>
        <w:t xml:space="preserve"> - istorijos </w:t>
      </w:r>
      <w:r w:rsidR="0008053F">
        <w:rPr>
          <w:rFonts w:ascii="Times New Roman" w:hAnsi="Times New Roman" w:cs="Times New Roman"/>
          <w:sz w:val="24"/>
          <w:szCs w:val="24"/>
        </w:rPr>
        <w:t xml:space="preserve">vyr. </w:t>
      </w:r>
      <w:proofErr w:type="gramStart"/>
      <w:r w:rsidR="0008053F">
        <w:rPr>
          <w:rFonts w:ascii="Times New Roman" w:hAnsi="Times New Roman" w:cs="Times New Roman"/>
          <w:sz w:val="24"/>
          <w:szCs w:val="24"/>
        </w:rPr>
        <w:t>mokytoja</w:t>
      </w:r>
      <w:proofErr w:type="gramEnd"/>
      <w:r w:rsidR="0008053F">
        <w:rPr>
          <w:rFonts w:ascii="Times New Roman" w:hAnsi="Times New Roman" w:cs="Times New Roman"/>
          <w:sz w:val="24"/>
          <w:szCs w:val="24"/>
        </w:rPr>
        <w:t>;</w:t>
      </w:r>
    </w:p>
    <w:p w:rsidR="00D226EC" w:rsidRDefault="00D226EC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Jolita Stačiokaitė – anglų k. </w:t>
      </w:r>
      <w:r w:rsidR="0008053F">
        <w:rPr>
          <w:rFonts w:ascii="Times New Roman" w:hAnsi="Times New Roman" w:cs="Times New Roman"/>
          <w:sz w:val="24"/>
          <w:szCs w:val="24"/>
        </w:rPr>
        <w:t xml:space="preserve">vyr. </w:t>
      </w:r>
      <w:proofErr w:type="gramStart"/>
      <w:r w:rsidR="0008053F">
        <w:rPr>
          <w:rFonts w:ascii="Times New Roman" w:hAnsi="Times New Roman" w:cs="Times New Roman"/>
          <w:sz w:val="24"/>
          <w:szCs w:val="24"/>
        </w:rPr>
        <w:t>mokytoja</w:t>
      </w:r>
      <w:proofErr w:type="gramEnd"/>
      <w:r w:rsidR="0008053F">
        <w:rPr>
          <w:rFonts w:ascii="Times New Roman" w:hAnsi="Times New Roman" w:cs="Times New Roman"/>
          <w:sz w:val="24"/>
          <w:szCs w:val="24"/>
        </w:rPr>
        <w:t>;</w:t>
      </w:r>
    </w:p>
    <w:p w:rsidR="00D226EC" w:rsidRDefault="00D226EC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Audronė Nore</w:t>
      </w:r>
      <w:r w:rsidR="0008053F">
        <w:rPr>
          <w:rFonts w:ascii="Times New Roman" w:hAnsi="Times New Roman" w:cs="Times New Roman"/>
          <w:sz w:val="24"/>
          <w:szCs w:val="24"/>
        </w:rPr>
        <w:t xml:space="preserve">ikienė – pradinių kl.asių vyr. </w:t>
      </w:r>
      <w:proofErr w:type="gramStart"/>
      <w:r w:rsidR="000805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okytoja</w:t>
      </w:r>
      <w:proofErr w:type="gramEnd"/>
      <w:r w:rsidR="0008053F">
        <w:rPr>
          <w:rFonts w:ascii="Times New Roman" w:hAnsi="Times New Roman" w:cs="Times New Roman"/>
          <w:sz w:val="24"/>
          <w:szCs w:val="24"/>
        </w:rPr>
        <w:t>;</w:t>
      </w:r>
    </w:p>
    <w:p w:rsidR="00D226EC" w:rsidRDefault="00D226EC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Laimutė Grigaliūnienė – g</w:t>
      </w:r>
      <w:r w:rsidR="0008053F">
        <w:rPr>
          <w:rFonts w:ascii="Times New Roman" w:hAnsi="Times New Roman" w:cs="Times New Roman"/>
          <w:sz w:val="24"/>
          <w:szCs w:val="24"/>
        </w:rPr>
        <w:t>eografijos mokytoja metodininkė;</w:t>
      </w:r>
    </w:p>
    <w:p w:rsidR="00D226EC" w:rsidRDefault="00840DC7" w:rsidP="00D226EC">
      <w:pPr>
        <w:tabs>
          <w:tab w:val="num" w:pos="1080"/>
        </w:tabs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Dalia Mazuronienė – soc. </w:t>
      </w:r>
      <w:r w:rsidR="00DB5FB3">
        <w:rPr>
          <w:rFonts w:ascii="Times New Roman" w:hAnsi="Times New Roman" w:cs="Times New Roman"/>
          <w:sz w:val="24"/>
          <w:szCs w:val="24"/>
        </w:rPr>
        <w:t>p</w:t>
      </w:r>
      <w:r w:rsidR="00D226EC">
        <w:rPr>
          <w:rFonts w:ascii="Times New Roman" w:hAnsi="Times New Roman" w:cs="Times New Roman"/>
          <w:sz w:val="24"/>
          <w:szCs w:val="24"/>
        </w:rPr>
        <w:t>edagog</w:t>
      </w:r>
      <w:r w:rsidR="00DB5FB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D226EC">
        <w:rPr>
          <w:rFonts w:ascii="Times New Roman" w:hAnsi="Times New Roman" w:cs="Times New Roman"/>
          <w:sz w:val="24"/>
          <w:szCs w:val="24"/>
        </w:rPr>
        <w:t>, tėvų atstovas.</w:t>
      </w:r>
    </w:p>
    <w:p w:rsidR="003314FD" w:rsidRDefault="003314FD" w:rsidP="00D22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EC" w:rsidRDefault="003314FD" w:rsidP="00DB5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B7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6EC">
        <w:rPr>
          <w:rFonts w:ascii="Times New Roman" w:hAnsi="Times New Roman" w:cs="Times New Roman"/>
          <w:b/>
          <w:sz w:val="24"/>
          <w:szCs w:val="24"/>
        </w:rPr>
        <w:t>STRATEGINI</w:t>
      </w:r>
      <w:r w:rsidR="00DB5FB3">
        <w:rPr>
          <w:rFonts w:ascii="Times New Roman" w:hAnsi="Times New Roman" w:cs="Times New Roman"/>
          <w:b/>
          <w:sz w:val="24"/>
          <w:szCs w:val="24"/>
        </w:rPr>
        <w:t>AI</w:t>
      </w:r>
      <w:r w:rsidR="00D226EC">
        <w:rPr>
          <w:rFonts w:ascii="Times New Roman" w:hAnsi="Times New Roman" w:cs="Times New Roman"/>
          <w:b/>
          <w:sz w:val="24"/>
          <w:szCs w:val="24"/>
        </w:rPr>
        <w:t xml:space="preserve"> TIKSLAI</w:t>
      </w:r>
    </w:p>
    <w:p w:rsidR="00DB5FB3" w:rsidRPr="00F60456" w:rsidRDefault="00DB5FB3" w:rsidP="00DB5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B3" w:rsidRDefault="00D226EC" w:rsidP="00DB5FB3">
      <w:pPr>
        <w:spacing w:after="0" w:line="360" w:lineRule="auto"/>
        <w:ind w:left="720" w:hanging="5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7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456">
        <w:rPr>
          <w:rFonts w:ascii="Times New Roman" w:eastAsia="Calibri" w:hAnsi="Times New Roman" w:cs="Times New Roman"/>
          <w:sz w:val="24"/>
          <w:szCs w:val="24"/>
        </w:rPr>
        <w:t>Sukurti šiuolaikišką ir estetišką ugdymo (si) aplinką, kuri tenkintų mokyklos bendruomenės poreikius.</w:t>
      </w:r>
    </w:p>
    <w:p w:rsidR="00D226EC" w:rsidRPr="00F60456" w:rsidRDefault="00D226EC" w:rsidP="00DB5FB3">
      <w:pPr>
        <w:spacing w:after="0" w:line="360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 w:rsidRPr="00F60456">
        <w:rPr>
          <w:rFonts w:ascii="Times New Roman" w:eastAsia="Calibri" w:hAnsi="Times New Roman" w:cs="Times New Roman"/>
          <w:sz w:val="24"/>
          <w:szCs w:val="24"/>
        </w:rPr>
        <w:t>2.</w:t>
      </w:r>
      <w:r w:rsidR="00B87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456">
        <w:rPr>
          <w:rFonts w:ascii="Times New Roman" w:eastAsia="Calibri" w:hAnsi="Times New Roman" w:cs="Times New Roman"/>
          <w:sz w:val="24"/>
          <w:szCs w:val="24"/>
        </w:rPr>
        <w:t xml:space="preserve">Aktyvinti gimnazijos savivaldos institucijų veiklą, palaikyti bendruomenės narių iniciatyvas išlaisvinant kūrybines galias. </w:t>
      </w:r>
    </w:p>
    <w:p w:rsidR="00D226EC" w:rsidRDefault="00D226EC" w:rsidP="00DB5FB3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456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B87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456">
        <w:rPr>
          <w:rFonts w:ascii="Times New Roman" w:eastAsia="Calibri" w:hAnsi="Times New Roman" w:cs="Times New Roman"/>
          <w:sz w:val="24"/>
          <w:szCs w:val="24"/>
        </w:rPr>
        <w:t>Užtikrinti veiksmingą ir kokybišką ugdymą (si).</w:t>
      </w:r>
    </w:p>
    <w:p w:rsidR="00DB5FB3" w:rsidRPr="00F60456" w:rsidRDefault="00DB5FB3" w:rsidP="00DB5FB3">
      <w:pPr>
        <w:spacing w:after="0" w:line="36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6EC" w:rsidRDefault="00D226EC" w:rsidP="00D226EC">
      <w:pPr>
        <w:spacing w:line="36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F60456">
        <w:rPr>
          <w:rFonts w:ascii="Times New Roman" w:hAnsi="Times New Roman" w:cs="Times New Roman"/>
          <w:b/>
          <w:sz w:val="24"/>
          <w:szCs w:val="24"/>
        </w:rPr>
        <w:t xml:space="preserve">STRATEGINIAI PRIORITETAI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F6045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0456">
        <w:rPr>
          <w:rFonts w:ascii="Times New Roman" w:hAnsi="Times New Roman" w:cs="Times New Roman"/>
          <w:b/>
          <w:sz w:val="24"/>
          <w:szCs w:val="24"/>
        </w:rPr>
        <w:t xml:space="preserve"> M.M.</w:t>
      </w:r>
    </w:p>
    <w:p w:rsidR="00D226EC" w:rsidRPr="00F60456" w:rsidRDefault="00D226EC" w:rsidP="00B8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456">
        <w:rPr>
          <w:rFonts w:ascii="Times New Roman" w:eastAsia="Calibri" w:hAnsi="Times New Roman" w:cs="Times New Roman"/>
          <w:sz w:val="24"/>
          <w:szCs w:val="24"/>
        </w:rPr>
        <w:t>2.4.1. Mokymosi motyvacija</w:t>
      </w:r>
    </w:p>
    <w:p w:rsidR="00D226EC" w:rsidRPr="00F60456" w:rsidRDefault="00D226EC" w:rsidP="00B87A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456">
        <w:rPr>
          <w:rFonts w:ascii="Times New Roman" w:eastAsia="Calibri" w:hAnsi="Times New Roman" w:cs="Times New Roman"/>
          <w:sz w:val="24"/>
          <w:szCs w:val="24"/>
        </w:rPr>
        <w:t>2.5.2. Mokymosi veiklos diferencijavimas</w:t>
      </w:r>
    </w:p>
    <w:p w:rsidR="00D226EC" w:rsidRDefault="00D226EC" w:rsidP="00B87A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456">
        <w:rPr>
          <w:rFonts w:ascii="Times New Roman" w:eastAsia="Calibri" w:hAnsi="Times New Roman" w:cs="Times New Roman"/>
          <w:sz w:val="24"/>
          <w:szCs w:val="24"/>
        </w:rPr>
        <w:t>4.1.1.</w:t>
      </w:r>
      <w:r w:rsidR="00DB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456">
        <w:rPr>
          <w:rFonts w:ascii="Times New Roman" w:eastAsia="Calibri" w:hAnsi="Times New Roman" w:cs="Times New Roman"/>
          <w:sz w:val="24"/>
          <w:szCs w:val="24"/>
        </w:rPr>
        <w:t>Bendroji rūpinim</w:t>
      </w:r>
      <w:r w:rsidR="00DB5FB3">
        <w:rPr>
          <w:rFonts w:ascii="Times New Roman" w:eastAsia="Calibri" w:hAnsi="Times New Roman" w:cs="Times New Roman"/>
          <w:sz w:val="24"/>
          <w:szCs w:val="24"/>
        </w:rPr>
        <w:t>o</w:t>
      </w:r>
      <w:r w:rsidRPr="00F60456">
        <w:rPr>
          <w:rFonts w:ascii="Times New Roman" w:eastAsia="Calibri" w:hAnsi="Times New Roman" w:cs="Times New Roman"/>
          <w:sz w:val="24"/>
          <w:szCs w:val="24"/>
        </w:rPr>
        <w:t>si mokiniais politika</w:t>
      </w:r>
    </w:p>
    <w:p w:rsidR="00DB5FB3" w:rsidRPr="00F60456" w:rsidRDefault="00DB5FB3" w:rsidP="00B87A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BC6" w:rsidRDefault="003314FD" w:rsidP="00375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75BC6" w:rsidRPr="00F40836">
        <w:rPr>
          <w:rFonts w:ascii="Times New Roman" w:hAnsi="Times New Roman" w:cs="Times New Roman"/>
          <w:b/>
          <w:sz w:val="24"/>
          <w:szCs w:val="24"/>
        </w:rPr>
        <w:t>SITUACIJOS ANALIZĖ</w:t>
      </w:r>
    </w:p>
    <w:p w:rsidR="00DB5FB3" w:rsidRPr="00F40836" w:rsidRDefault="00DB5FB3" w:rsidP="00375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6C" w:rsidRDefault="00840DC7" w:rsidP="00AA3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2014–2015 m. m. </w:t>
      </w:r>
      <w:r w:rsidR="00BC39D5">
        <w:rPr>
          <w:rFonts w:ascii="Times New Roman" w:hAnsi="Times New Roman" w:cs="Times New Roman"/>
          <w:sz w:val="24"/>
          <w:szCs w:val="24"/>
        </w:rPr>
        <w:t>gimnazijoje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375BC6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klasių</w:t>
      </w:r>
      <w:r w:rsidR="00375BC6" w:rsidRPr="009C65D1">
        <w:rPr>
          <w:rFonts w:ascii="Times New Roman" w:hAnsi="Times New Roman" w:cs="Times New Roman"/>
          <w:sz w:val="24"/>
          <w:szCs w:val="24"/>
        </w:rPr>
        <w:t xml:space="preserve"> komplektų:</w:t>
      </w:r>
      <w:r w:rsidR="00375BC6">
        <w:rPr>
          <w:rFonts w:ascii="Times New Roman" w:hAnsi="Times New Roman" w:cs="Times New Roman"/>
          <w:sz w:val="24"/>
          <w:szCs w:val="24"/>
        </w:rPr>
        <w:t xml:space="preserve"> 5 p</w:t>
      </w:r>
      <w:r>
        <w:rPr>
          <w:rFonts w:ascii="Times New Roman" w:hAnsi="Times New Roman" w:cs="Times New Roman"/>
          <w:sz w:val="24"/>
          <w:szCs w:val="24"/>
        </w:rPr>
        <w:t>radinio ugdymo (1–4),</w:t>
      </w:r>
      <w:r w:rsidR="00375BC6">
        <w:rPr>
          <w:rFonts w:ascii="Times New Roman" w:hAnsi="Times New Roman" w:cs="Times New Roman"/>
          <w:sz w:val="24"/>
          <w:szCs w:val="24"/>
        </w:rPr>
        <w:t xml:space="preserve"> 7</w:t>
      </w:r>
      <w:r w:rsidR="00AA339A">
        <w:rPr>
          <w:rFonts w:ascii="Times New Roman" w:hAnsi="Times New Roman" w:cs="Times New Roman"/>
          <w:sz w:val="24"/>
          <w:szCs w:val="24"/>
        </w:rPr>
        <w:t xml:space="preserve"> </w:t>
      </w:r>
      <w:r w:rsidR="008A2CEF">
        <w:rPr>
          <w:rFonts w:ascii="Times New Roman" w:hAnsi="Times New Roman" w:cs="Times New Roman"/>
          <w:sz w:val="24"/>
          <w:szCs w:val="24"/>
        </w:rPr>
        <w:t>pagrindinio ugdymo (5–8, 1g-2g</w:t>
      </w:r>
      <w:r w:rsidR="00375BC6" w:rsidRPr="009C65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ir 2 vidurinio ugdymo </w:t>
      </w:r>
      <w:r w:rsidR="00375BC6">
        <w:rPr>
          <w:rFonts w:ascii="Times New Roman" w:hAnsi="Times New Roman" w:cs="Times New Roman"/>
          <w:sz w:val="24"/>
          <w:szCs w:val="24"/>
        </w:rPr>
        <w:t>(3g-4g)</w:t>
      </w:r>
      <w:r w:rsidR="00375BC6" w:rsidRPr="009C65D1">
        <w:rPr>
          <w:rFonts w:ascii="Times New Roman" w:hAnsi="Times New Roman" w:cs="Times New Roman"/>
          <w:sz w:val="24"/>
          <w:szCs w:val="24"/>
        </w:rPr>
        <w:t xml:space="preserve">. </w:t>
      </w:r>
      <w:r w:rsidR="00375BC6">
        <w:rPr>
          <w:rFonts w:ascii="Times New Roman" w:hAnsi="Times New Roman" w:cs="Times New Roman"/>
          <w:sz w:val="24"/>
          <w:szCs w:val="24"/>
        </w:rPr>
        <w:t>Mokslo metų pabaigoje mokėsi 288</w:t>
      </w:r>
      <w:r w:rsidR="00DA4822">
        <w:rPr>
          <w:rFonts w:ascii="Times New Roman" w:hAnsi="Times New Roman" w:cs="Times New Roman"/>
          <w:sz w:val="24"/>
          <w:szCs w:val="24"/>
        </w:rPr>
        <w:t xml:space="preserve"> mokiniai</w:t>
      </w:r>
      <w:r w:rsidR="00375BC6" w:rsidRPr="009C65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1–4 klasėse – </w:t>
      </w:r>
      <w:r w:rsidR="00375BC6">
        <w:rPr>
          <w:rFonts w:ascii="Times New Roman" w:hAnsi="Times New Roman" w:cs="Times New Roman"/>
          <w:sz w:val="24"/>
          <w:szCs w:val="24"/>
        </w:rPr>
        <w:t>92</w:t>
      </w:r>
      <w:r w:rsidR="00AA339A">
        <w:rPr>
          <w:rFonts w:ascii="Times New Roman" w:hAnsi="Times New Roman" w:cs="Times New Roman"/>
          <w:sz w:val="24"/>
          <w:szCs w:val="24"/>
        </w:rPr>
        <w:t xml:space="preserve">, </w:t>
      </w:r>
      <w:r w:rsidR="00375BC6" w:rsidRPr="009C65D1">
        <w:rPr>
          <w:rFonts w:ascii="Times New Roman" w:hAnsi="Times New Roman" w:cs="Times New Roman"/>
          <w:sz w:val="24"/>
          <w:szCs w:val="24"/>
        </w:rPr>
        <w:t>5–8</w:t>
      </w:r>
      <w:r w:rsidR="00DB5FB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112, 1g-4g – </w:t>
      </w:r>
      <w:r w:rsidR="00375BC6">
        <w:rPr>
          <w:rFonts w:ascii="Times New Roman" w:hAnsi="Times New Roman" w:cs="Times New Roman"/>
          <w:sz w:val="24"/>
          <w:szCs w:val="24"/>
        </w:rPr>
        <w:t>83</w:t>
      </w:r>
      <w:r w:rsidR="00DB5FB3">
        <w:rPr>
          <w:rFonts w:ascii="Times New Roman" w:hAnsi="Times New Roman" w:cs="Times New Roman"/>
          <w:sz w:val="24"/>
          <w:szCs w:val="24"/>
        </w:rPr>
        <w:t xml:space="preserve"> mokiniai</w:t>
      </w:r>
      <w:r w:rsidR="00375BC6" w:rsidRPr="009C65D1">
        <w:rPr>
          <w:rFonts w:ascii="Times New Roman" w:hAnsi="Times New Roman" w:cs="Times New Roman"/>
          <w:sz w:val="24"/>
          <w:szCs w:val="24"/>
        </w:rPr>
        <w:t>, prieš</w:t>
      </w:r>
      <w:r>
        <w:rPr>
          <w:rFonts w:ascii="Times New Roman" w:hAnsi="Times New Roman" w:cs="Times New Roman"/>
          <w:sz w:val="24"/>
          <w:szCs w:val="24"/>
        </w:rPr>
        <w:t xml:space="preserve">mokyklinio ugdymo grupę lankė </w:t>
      </w:r>
      <w:r w:rsidR="00375BC6">
        <w:rPr>
          <w:rFonts w:ascii="Times New Roman" w:hAnsi="Times New Roman" w:cs="Times New Roman"/>
          <w:sz w:val="24"/>
          <w:szCs w:val="24"/>
        </w:rPr>
        <w:t>14</w:t>
      </w:r>
      <w:r w:rsidR="00375BC6" w:rsidRPr="009C65D1">
        <w:rPr>
          <w:rFonts w:ascii="Times New Roman" w:hAnsi="Times New Roman" w:cs="Times New Roman"/>
          <w:sz w:val="24"/>
          <w:szCs w:val="24"/>
        </w:rPr>
        <w:t xml:space="preserve"> vaik</w:t>
      </w:r>
      <w:r w:rsidR="00DB5FB3">
        <w:rPr>
          <w:rFonts w:ascii="Times New Roman" w:hAnsi="Times New Roman" w:cs="Times New Roman"/>
          <w:sz w:val="24"/>
          <w:szCs w:val="24"/>
        </w:rPr>
        <w:t>ų</w:t>
      </w:r>
      <w:r w:rsidR="00375BC6" w:rsidRPr="009C6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Pradinį išsilavinimą įgijo </w:t>
      </w:r>
      <w:r w:rsidR="00375BC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C65D1">
        <w:rPr>
          <w:rFonts w:ascii="Times New Roman" w:hAnsi="Times New Roman" w:cs="Times New Roman"/>
          <w:sz w:val="24"/>
          <w:szCs w:val="24"/>
        </w:rPr>
        <w:t>ketvirtokai,</w:t>
      </w:r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r w:rsidR="0093586C">
        <w:rPr>
          <w:rFonts w:ascii="Times New Roman" w:hAnsi="Times New Roman" w:cs="Times New Roman"/>
          <w:sz w:val="24"/>
          <w:szCs w:val="24"/>
        </w:rPr>
        <w:t>pagrindinį – 17 dešimtokų, vidur</w:t>
      </w:r>
      <w:r w:rsidR="00375BC6">
        <w:rPr>
          <w:rFonts w:ascii="Times New Roman" w:hAnsi="Times New Roman" w:cs="Times New Roman"/>
          <w:sz w:val="24"/>
          <w:szCs w:val="24"/>
        </w:rPr>
        <w:t>inį – 25 dvyliktokai</w:t>
      </w:r>
      <w:r w:rsidR="00375BC6" w:rsidRPr="009C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 w:rsidRPr="009C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86C">
        <w:rPr>
          <w:rFonts w:ascii="Times New Roman" w:hAnsi="Times New Roman" w:cs="Times New Roman"/>
          <w:sz w:val="24"/>
          <w:szCs w:val="24"/>
        </w:rPr>
        <w:t>Brandos</w:t>
      </w:r>
      <w:proofErr w:type="gramEnd"/>
      <w:r w:rsidR="0093586C">
        <w:rPr>
          <w:rFonts w:ascii="Times New Roman" w:hAnsi="Times New Roman" w:cs="Times New Roman"/>
          <w:sz w:val="24"/>
          <w:szCs w:val="24"/>
        </w:rPr>
        <w:t xml:space="preserve"> atestatus gavo 24 abiturientai, viena mokinė – vidurinio </w:t>
      </w:r>
      <w:r w:rsidR="008D4C8F">
        <w:rPr>
          <w:rFonts w:ascii="Times New Roman" w:hAnsi="Times New Roman" w:cs="Times New Roman"/>
          <w:sz w:val="24"/>
          <w:szCs w:val="24"/>
          <w:lang w:val="lt-LT"/>
        </w:rPr>
        <w:t>išsilavini</w:t>
      </w:r>
      <w:r w:rsidR="0093586C">
        <w:rPr>
          <w:rFonts w:ascii="Times New Roman" w:hAnsi="Times New Roman" w:cs="Times New Roman"/>
          <w:sz w:val="24"/>
          <w:szCs w:val="24"/>
          <w:lang w:val="lt-LT"/>
        </w:rPr>
        <w:t xml:space="preserve">mo pažymėjimą. </w:t>
      </w:r>
    </w:p>
    <w:p w:rsidR="00ED5407" w:rsidRPr="00ED5407" w:rsidRDefault="00ED5407" w:rsidP="00DB5F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D5407">
        <w:rPr>
          <w:rFonts w:ascii="Times New Roman" w:hAnsi="Times New Roman" w:cs="Times New Roman"/>
          <w:sz w:val="24"/>
          <w:szCs w:val="24"/>
        </w:rPr>
        <w:t>Brandos</w:t>
      </w:r>
      <w:proofErr w:type="gramEnd"/>
      <w:r w:rsidRPr="00ED5407">
        <w:rPr>
          <w:rFonts w:ascii="Times New Roman" w:hAnsi="Times New Roman" w:cs="Times New Roman"/>
          <w:sz w:val="24"/>
          <w:szCs w:val="24"/>
        </w:rPr>
        <w:t xml:space="preserve"> egzaminų balų vidurkių palyginimas</w:t>
      </w:r>
      <w:r w:rsidR="00DB5F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5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84"/>
        <w:gridCol w:w="1417"/>
        <w:gridCol w:w="1418"/>
        <w:gridCol w:w="1417"/>
        <w:gridCol w:w="1418"/>
      </w:tblGrid>
      <w:tr w:rsidR="00ED5407" w:rsidRPr="00ED5407" w:rsidTr="00DB5FB3">
        <w:trPr>
          <w:trHeight w:val="200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ED5407" w:rsidRPr="00ED540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D5407" w:rsidRPr="00ED54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2013-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2014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2012-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2013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2011-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</w:t>
            </w:r>
          </w:p>
        </w:tc>
      </w:tr>
      <w:tr w:rsidR="0093586C" w:rsidRPr="00ED5407" w:rsidTr="00DB5FB3">
        <w:trPr>
          <w:trHeight w:val="151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Lietuvi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ų k.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27.31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25.9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39.7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65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Matematika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28.64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4.4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26.2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28.4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23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Anglų k.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39.9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33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45.5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155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Istorija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19.35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25.6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34.4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326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Fizika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24.33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8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25.6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23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Chemija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27.38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49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27.5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42.5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288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Biologija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39.83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28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67</w:t>
            </w:r>
            <w:r w:rsidRPr="00ED540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34.3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288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Geografija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48.85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37.14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32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0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150"/>
          <w:tblCellSpacing w:w="20" w:type="dxa"/>
          <w:jc w:val="center"/>
        </w:trPr>
        <w:tc>
          <w:tcPr>
            <w:tcW w:w="1524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Informatika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93586C" w:rsidRPr="0093586C" w:rsidRDefault="0093586C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5.7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0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93586C" w:rsidRPr="00ED5407" w:rsidTr="00DB5FB3">
        <w:trPr>
          <w:trHeight w:val="106"/>
          <w:tblCellSpacing w:w="20" w:type="dxa"/>
          <w:jc w:val="center"/>
        </w:trPr>
        <w:tc>
          <w:tcPr>
            <w:tcW w:w="1524" w:type="dxa"/>
            <w:tcBorders>
              <w:top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</w:pPr>
            <w:r w:rsidRPr="00ED5407"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  <w:t>Prancūzų k.</w:t>
            </w:r>
          </w:p>
        </w:tc>
        <w:tc>
          <w:tcPr>
            <w:tcW w:w="1377" w:type="dxa"/>
            <w:tcBorders>
              <w:top w:val="outset" w:sz="6" w:space="0" w:color="auto"/>
            </w:tcBorders>
            <w:shd w:val="clear" w:color="auto" w:fill="auto"/>
            <w:vAlign w:val="center"/>
            <w:hideMark/>
          </w:tcPr>
          <w:p w:rsidR="0093586C" w:rsidRPr="008D4C8F" w:rsidRDefault="008D4C8F" w:rsidP="0093586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8" w:type="dxa"/>
            <w:tcBorders>
              <w:top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</w:pPr>
            <w:r w:rsidRPr="00ED5407"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</w:p>
        </w:tc>
        <w:tc>
          <w:tcPr>
            <w:tcW w:w="1377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</w:pPr>
            <w:r w:rsidRPr="00ED5407"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</w:pPr>
            <w:r w:rsidRPr="00ED5407">
              <w:rPr>
                <w:rFonts w:ascii="Times New Roman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</w:p>
        </w:tc>
      </w:tr>
      <w:tr w:rsidR="0093586C" w:rsidRPr="00D31F1C" w:rsidTr="00DB5FB3">
        <w:trPr>
          <w:trHeight w:val="288"/>
          <w:tblCellSpacing w:w="20" w:type="dxa"/>
          <w:jc w:val="center"/>
        </w:trPr>
        <w:tc>
          <w:tcPr>
            <w:tcW w:w="1524" w:type="dxa"/>
            <w:shd w:val="clear" w:color="auto" w:fill="auto"/>
            <w:hideMark/>
          </w:tcPr>
          <w:p w:rsidR="0093586C" w:rsidRPr="00D31F1C" w:rsidRDefault="0093586C" w:rsidP="002C5BF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31F1C">
              <w:rPr>
                <w:rFonts w:ascii="Calibri" w:eastAsia="Calibri" w:hAnsi="Calibri" w:cs="Times New Roman"/>
                <w:kern w:val="24"/>
                <w:lang w:val="lt-LT"/>
              </w:rPr>
              <w:t>Rusų k.</w:t>
            </w:r>
            <w:r w:rsidRPr="00D31F1C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78" w:type="dxa"/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5407">
              <w:rPr>
                <w:rFonts w:ascii="Calibri" w:eastAsia="Calibri" w:hAnsi="Calibri" w:cs="Times New Roman"/>
                <w:bCs/>
                <w:kern w:val="24"/>
                <w:lang w:val="lt-LT"/>
              </w:rPr>
              <w:t>58</w:t>
            </w:r>
            <w:r w:rsidRPr="00ED5407">
              <w:rPr>
                <w:rFonts w:ascii="Calibri" w:eastAsia="Calibri" w:hAnsi="Calibri" w:cs="Times New Roman"/>
                <w:bCs/>
                <w:kern w:val="24"/>
              </w:rPr>
              <w:t xml:space="preserve"> </w:t>
            </w:r>
          </w:p>
        </w:tc>
        <w:tc>
          <w:tcPr>
            <w:tcW w:w="1377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5407">
              <w:rPr>
                <w:rFonts w:ascii="Calibri" w:eastAsia="Calibri" w:hAnsi="Calibri" w:cs="Times New Roman"/>
                <w:kern w:val="24"/>
                <w:lang w:val="lt-LT"/>
              </w:rPr>
              <w:t>32</w:t>
            </w:r>
            <w:r w:rsidRPr="00ED5407">
              <w:rPr>
                <w:rFonts w:ascii="Calibri" w:eastAsia="Calibri" w:hAnsi="Calibri" w:cs="Times New Roman"/>
                <w:kern w:val="24"/>
              </w:rPr>
              <w:t xml:space="preserve"> </w:t>
            </w:r>
          </w:p>
        </w:tc>
        <w:tc>
          <w:tcPr>
            <w:tcW w:w="1358" w:type="dxa"/>
            <w:tcBorders>
              <w:left w:val="outset" w:sz="6" w:space="0" w:color="auto"/>
            </w:tcBorders>
            <w:shd w:val="clear" w:color="auto" w:fill="auto"/>
          </w:tcPr>
          <w:p w:rsidR="0093586C" w:rsidRPr="00ED5407" w:rsidRDefault="0093586C" w:rsidP="002C5B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5407">
              <w:rPr>
                <w:kern w:val="24"/>
                <w:lang w:val="lt-LT"/>
              </w:rPr>
              <w:t>-</w:t>
            </w:r>
          </w:p>
        </w:tc>
      </w:tr>
    </w:tbl>
    <w:p w:rsidR="00DB5FB3" w:rsidRDefault="00DB5FB3" w:rsidP="00AA3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407" w:rsidRPr="00ED5407" w:rsidRDefault="00ED5407" w:rsidP="00AA3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PUPP rezultatai</w:t>
      </w:r>
      <w:r w:rsidR="00DB5F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077"/>
        <w:gridCol w:w="1176"/>
        <w:gridCol w:w="744"/>
        <w:gridCol w:w="717"/>
        <w:gridCol w:w="718"/>
        <w:gridCol w:w="718"/>
        <w:gridCol w:w="718"/>
        <w:gridCol w:w="718"/>
        <w:gridCol w:w="718"/>
        <w:gridCol w:w="718"/>
        <w:gridCol w:w="628"/>
        <w:gridCol w:w="826"/>
      </w:tblGrid>
      <w:tr w:rsidR="00DB5FB3" w:rsidRPr="00ED5407" w:rsidTr="008D4C8F">
        <w:tc>
          <w:tcPr>
            <w:tcW w:w="2077" w:type="dxa"/>
            <w:vMerge w:val="restart"/>
          </w:tcPr>
          <w:p w:rsidR="00DB5FB3" w:rsidRPr="00ED5407" w:rsidRDefault="00DB5FB3" w:rsidP="00AA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b/>
                <w:sz w:val="24"/>
                <w:szCs w:val="24"/>
              </w:rPr>
              <w:t>Patikrinimas</w:t>
            </w:r>
          </w:p>
        </w:tc>
        <w:tc>
          <w:tcPr>
            <w:tcW w:w="1176" w:type="dxa"/>
            <w:vMerge w:val="restart"/>
          </w:tcPr>
          <w:p w:rsidR="00DB5FB3" w:rsidRPr="00ED5407" w:rsidRDefault="00DB5FB3" w:rsidP="00AA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b/>
                <w:sz w:val="24"/>
                <w:szCs w:val="24"/>
              </w:rPr>
              <w:t>Dalyvavo</w:t>
            </w:r>
          </w:p>
        </w:tc>
        <w:tc>
          <w:tcPr>
            <w:tcW w:w="7223" w:type="dxa"/>
            <w:gridSpan w:val="10"/>
          </w:tcPr>
          <w:p w:rsidR="00DB5FB3" w:rsidRPr="00ED5407" w:rsidRDefault="00DB5FB3" w:rsidP="00AA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b/>
                <w:sz w:val="24"/>
                <w:szCs w:val="24"/>
              </w:rPr>
              <w:t>Įvertinimai</w:t>
            </w:r>
          </w:p>
        </w:tc>
      </w:tr>
      <w:tr w:rsidR="00DB5FB3" w:rsidRPr="00ED5407" w:rsidTr="008D4C8F">
        <w:tc>
          <w:tcPr>
            <w:tcW w:w="2077" w:type="dxa"/>
            <w:vMerge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DB5FB3" w:rsidRPr="00ED5407" w:rsidRDefault="00DB5FB3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BC6" w:rsidRPr="00ED5407" w:rsidTr="008D4C8F">
        <w:tc>
          <w:tcPr>
            <w:tcW w:w="2077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  <w:tc>
          <w:tcPr>
            <w:tcW w:w="1176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BC6" w:rsidRPr="00ED5407" w:rsidTr="008D4C8F">
        <w:tc>
          <w:tcPr>
            <w:tcW w:w="2077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76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75BC6" w:rsidRPr="00ED5407" w:rsidRDefault="00375BC6" w:rsidP="00AA33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4C8F" w:rsidRDefault="00ED5407" w:rsidP="00ED54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ED540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Pagrindinio ugdymo pasiekim</w:t>
      </w:r>
      <w:r w:rsidR="00656C62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ų patikrinimo rezultatų </w:t>
      </w:r>
      <w:r w:rsidR="00840DC7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palyginimas </w:t>
      </w:r>
      <w:r w:rsidRPr="00ED5407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20</w:t>
      </w:r>
      <w:r w:rsidRPr="00ED5407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ED5407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-201</w:t>
      </w:r>
      <w:r w:rsidRPr="00ED54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5407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br/>
      </w:r>
    </w:p>
    <w:p w:rsidR="00ED5407" w:rsidRPr="00DB5FB3" w:rsidRDefault="00ED5407" w:rsidP="00DB5F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B5FB3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Lietuvių k.</w:t>
      </w:r>
    </w:p>
    <w:tbl>
      <w:tblPr>
        <w:tblW w:w="100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59"/>
        <w:gridCol w:w="2435"/>
        <w:gridCol w:w="2268"/>
        <w:gridCol w:w="2409"/>
        <w:gridCol w:w="1701"/>
      </w:tblGrid>
      <w:tr w:rsidR="00ED5407" w:rsidRPr="00ED5407" w:rsidTr="00DB5FB3">
        <w:trPr>
          <w:trHeight w:val="227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ED540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:rsidR="00ED5407" w:rsidRPr="00ED5407" w:rsidRDefault="00DB5FB3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D5407" w:rsidRPr="00ED54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8" w:type="dxa"/>
          </w:tcPr>
          <w:p w:rsidR="00ED5407" w:rsidRPr="00ED540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  <w:r w:rsidR="00DB5FB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</w:t>
            </w:r>
            <w:r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2369" w:type="dxa"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2012-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2013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ED540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2011-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</w:t>
            </w:r>
            <w:r w:rsidR="00ED5407" w:rsidRPr="00ED540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15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Baigė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30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34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Laikė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 xml:space="preserve">      2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    (2 atleisti)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29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33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9-10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7-8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9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7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4-6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1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14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22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Neišlaikė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     (5</w:t>
            </w:r>
            <w:proofErr w:type="gramStart"/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             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 xml:space="preserve">  </w:t>
            </w:r>
            <w:r w:rsidRPr="0053316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lt-LT"/>
              </w:rPr>
              <w:t xml:space="preserve"> 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(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22.7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%)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lt-LT"/>
              </w:rPr>
              <w:t xml:space="preserve">              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  (10.3%)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lt-LT"/>
              </w:rPr>
              <w:t xml:space="preserve">          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 (6%)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ED5407" w:rsidTr="00DB5FB3">
        <w:trPr>
          <w:trHeight w:val="23"/>
          <w:tblCellSpacing w:w="20" w:type="dxa"/>
          <w:jc w:val="center"/>
        </w:trPr>
        <w:tc>
          <w:tcPr>
            <w:tcW w:w="1199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Vidurkis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228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4.8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4.8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5.7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D5407" w:rsidRPr="00ED5407" w:rsidRDefault="00ED5407" w:rsidP="00ED5407">
      <w:pPr>
        <w:tabs>
          <w:tab w:val="left" w:pos="46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D5407" w:rsidRPr="00DB5FB3" w:rsidRDefault="00ED5407" w:rsidP="00DB5FB3">
      <w:pPr>
        <w:tabs>
          <w:tab w:val="left" w:pos="465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 w:rsidRPr="00DB5FB3">
        <w:rPr>
          <w:rFonts w:ascii="Times New Roman" w:eastAsia="Calibri" w:hAnsi="Times New Roman" w:cs="Times New Roman"/>
          <w:bCs/>
          <w:sz w:val="24"/>
          <w:szCs w:val="24"/>
          <w:lang w:val="lt-LT"/>
        </w:rPr>
        <w:t>Matematika</w:t>
      </w:r>
    </w:p>
    <w:tbl>
      <w:tblPr>
        <w:tblW w:w="781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94"/>
        <w:gridCol w:w="1418"/>
        <w:gridCol w:w="2126"/>
        <w:gridCol w:w="1418"/>
        <w:gridCol w:w="1559"/>
      </w:tblGrid>
      <w:tr w:rsidR="00ED5407" w:rsidRPr="00533167" w:rsidTr="005C066F">
        <w:trPr>
          <w:trHeight w:val="421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DB5FB3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D5407" w:rsidRPr="005331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  <w:r w:rsidR="00DB5FB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-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2012-</w:t>
            </w:r>
            <w:r w:rsidR="00ED5407"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2013</w:t>
            </w:r>
            <w:r w:rsidR="00ED5407"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DB5FB3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2011-</w:t>
            </w:r>
            <w:r w:rsidR="00ED5407"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2012</w:t>
            </w:r>
            <w:r w:rsidR="00ED5407"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15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Baigė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25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30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34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Laikė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      22   (2 atleisti)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27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33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9-10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1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-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7-8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1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4-6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14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12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24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Neišlaikė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8   (47.1%)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6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 xml:space="preserve"> (27.3%)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9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 xml:space="preserve"> (34.6%)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8 (24.2%)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D5407" w:rsidRPr="00533167" w:rsidTr="00DB5FB3">
        <w:trPr>
          <w:trHeight w:val="23"/>
          <w:tblCellSpacing w:w="20" w:type="dxa"/>
          <w:jc w:val="center"/>
        </w:trPr>
        <w:tc>
          <w:tcPr>
            <w:tcW w:w="1234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lt-LT"/>
              </w:rPr>
              <w:t>Vidurkis</w:t>
            </w:r>
            <w:r w:rsidRPr="0053316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hideMark/>
          </w:tcPr>
          <w:p w:rsidR="00ED5407" w:rsidRPr="00533167" w:rsidRDefault="00ED5407" w:rsidP="00ED5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2086" w:type="dxa"/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3.7 </w:t>
            </w:r>
          </w:p>
        </w:tc>
        <w:tc>
          <w:tcPr>
            <w:tcW w:w="1378" w:type="dxa"/>
            <w:tcBorders>
              <w:right w:val="outset" w:sz="6" w:space="0" w:color="auto"/>
            </w:tcBorders>
            <w:shd w:val="clear" w:color="auto" w:fill="auto"/>
            <w:hideMark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4.3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out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lt-LT"/>
              </w:rPr>
              <w:t>4.9</w:t>
            </w:r>
            <w:r w:rsidRPr="00533167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D5407" w:rsidRDefault="00ED5407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BC6" w:rsidRPr="00ED5407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07">
        <w:rPr>
          <w:rFonts w:ascii="Times New Roman" w:hAnsi="Times New Roman" w:cs="Times New Roman"/>
          <w:sz w:val="24"/>
          <w:szCs w:val="24"/>
        </w:rPr>
        <w:t>Dešimtos klasės mokiniai tęsia mokymąsi:</w:t>
      </w:r>
    </w:p>
    <w:p w:rsidR="00375BC6" w:rsidRPr="00ED5407" w:rsidRDefault="005F7BBB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375BC6" w:rsidRPr="00ED5407">
        <w:rPr>
          <w:rFonts w:ascii="Times New Roman" w:hAnsi="Times New Roman" w:cs="Times New Roman"/>
          <w:sz w:val="24"/>
          <w:szCs w:val="24"/>
        </w:rPr>
        <w:t>Prienų r. Jiezno gimnazijos 3g klasėje – 15;</w:t>
      </w:r>
    </w:p>
    <w:p w:rsidR="00375BC6" w:rsidRPr="00ED5407" w:rsidRDefault="005F7BBB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375BC6" w:rsidRPr="00ED5407">
        <w:rPr>
          <w:rFonts w:ascii="Times New Roman" w:hAnsi="Times New Roman" w:cs="Times New Roman"/>
          <w:sz w:val="24"/>
          <w:szCs w:val="24"/>
        </w:rPr>
        <w:t>Daug</w:t>
      </w:r>
      <w:r w:rsidR="00375BC6" w:rsidRPr="00ED5407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375BC6" w:rsidRPr="00ED5407">
        <w:rPr>
          <w:rFonts w:ascii="Times New Roman" w:hAnsi="Times New Roman" w:cs="Times New Roman"/>
          <w:sz w:val="24"/>
          <w:szCs w:val="24"/>
        </w:rPr>
        <w:t>profe</w:t>
      </w:r>
      <w:r w:rsidR="00840DC7">
        <w:rPr>
          <w:rFonts w:ascii="Times New Roman" w:hAnsi="Times New Roman" w:cs="Times New Roman"/>
          <w:sz w:val="24"/>
          <w:szCs w:val="24"/>
        </w:rPr>
        <w:t xml:space="preserve">sinio rengimo centre - </w:t>
      </w:r>
      <w:r w:rsidR="00375BC6" w:rsidRPr="00ED5407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375BC6" w:rsidRPr="00ED5407" w:rsidRDefault="005F7BBB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</w:t>
      </w:r>
      <w:r w:rsidR="00375BC6" w:rsidRPr="00ED5407">
        <w:rPr>
          <w:rFonts w:ascii="Times New Roman" w:hAnsi="Times New Roman" w:cs="Times New Roman"/>
          <w:sz w:val="24"/>
          <w:szCs w:val="24"/>
        </w:rPr>
        <w:t>Kauno statybininkų rengimo centre – 1;</w:t>
      </w:r>
    </w:p>
    <w:p w:rsidR="00375BC6" w:rsidRPr="001032D5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2D5">
        <w:rPr>
          <w:rFonts w:ascii="Times New Roman" w:hAnsi="Times New Roman" w:cs="Times New Roman"/>
          <w:sz w:val="24"/>
          <w:szCs w:val="24"/>
        </w:rPr>
        <w:t>Pagrindinio ugdymo programos pirmąją dalį (5–8 kl.) mokiniai baigė 93</w:t>
      </w:r>
      <w:proofErr w:type="gramStart"/>
      <w:r w:rsidRPr="00103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Pr="001032D5">
        <w:rPr>
          <w:rFonts w:ascii="Times New Roman" w:hAnsi="Times New Roman" w:cs="Times New Roman"/>
          <w:sz w:val="24"/>
          <w:szCs w:val="24"/>
        </w:rPr>
        <w:t xml:space="preserve"> proc. pažangumu, </w:t>
      </w:r>
    </w:p>
    <w:p w:rsidR="00375BC6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 kl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88,24</w:t>
      </w:r>
      <w:proofErr w:type="gramEnd"/>
      <w:r w:rsidRPr="001032D5">
        <w:rPr>
          <w:rFonts w:ascii="Times New Roman" w:hAnsi="Times New Roman" w:cs="Times New Roman"/>
          <w:sz w:val="24"/>
          <w:szCs w:val="24"/>
        </w:rPr>
        <w:t xml:space="preserve">  proc.  </w:t>
      </w:r>
    </w:p>
    <w:p w:rsidR="005C066F" w:rsidRDefault="005C066F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5"/>
        <w:gridCol w:w="2095"/>
        <w:gridCol w:w="2848"/>
        <w:gridCol w:w="3420"/>
      </w:tblGrid>
      <w:tr w:rsidR="00375BC6" w:rsidTr="00AA339A"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2095" w:type="dxa"/>
          </w:tcPr>
          <w:p w:rsidR="00375BC6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Pažangumas</w:t>
            </w:r>
          </w:p>
          <w:p w:rsidR="00375BC6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pusmečio</w:t>
            </w:r>
          </w:p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(proc.)</w:t>
            </w:r>
          </w:p>
        </w:tc>
        <w:tc>
          <w:tcPr>
            <w:tcW w:w="2848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Metinis</w:t>
            </w:r>
          </w:p>
          <w:p w:rsidR="00375BC6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prieš papildomus darbus</w:t>
            </w:r>
          </w:p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(proc.)</w:t>
            </w:r>
          </w:p>
        </w:tc>
        <w:tc>
          <w:tcPr>
            <w:tcW w:w="3420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Metinis</w:t>
            </w:r>
          </w:p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po papildomų darbų</w:t>
            </w:r>
          </w:p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(proc.)</w:t>
            </w:r>
          </w:p>
        </w:tc>
      </w:tr>
      <w:tr w:rsidR="00375BC6" w:rsidTr="00AA339A"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2848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3420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BC6" w:rsidTr="00AA339A"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2848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420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C6" w:rsidTr="00AA339A">
        <w:trPr>
          <w:trHeight w:val="150"/>
        </w:trPr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1g-2g</w:t>
            </w:r>
          </w:p>
        </w:tc>
        <w:tc>
          <w:tcPr>
            <w:tcW w:w="2095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848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3420" w:type="dxa"/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C6" w:rsidTr="00AA339A">
        <w:trPr>
          <w:trHeight w:val="120"/>
        </w:trPr>
        <w:tc>
          <w:tcPr>
            <w:tcW w:w="2095" w:type="dxa"/>
            <w:tcBorders>
              <w:bottom w:val="single" w:sz="4" w:space="0" w:color="auto"/>
            </w:tcBorders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3g-4g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75BC6" w:rsidRPr="00932142" w:rsidRDefault="00375BC6" w:rsidP="00A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C6" w:rsidRPr="00932142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87D2F">
        <w:rPr>
          <w:rFonts w:ascii="Times New Roman" w:hAnsi="Times New Roman" w:cs="Times New Roman"/>
          <w:sz w:val="24"/>
          <w:szCs w:val="24"/>
        </w:rPr>
        <w:t>Palyginus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s</w:t>
      </w:r>
      <w:r w:rsidR="00587D2F">
        <w:rPr>
          <w:rFonts w:ascii="Times New Roman" w:hAnsi="Times New Roman" w:cs="Times New Roman"/>
          <w:sz w:val="24"/>
          <w:szCs w:val="24"/>
        </w:rPr>
        <w:t>u praėjusiais mokslo metais</w:t>
      </w:r>
      <w:r w:rsidR="005C066F">
        <w:rPr>
          <w:rFonts w:ascii="Times New Roman" w:hAnsi="Times New Roman" w:cs="Times New Roman"/>
          <w:sz w:val="24"/>
          <w:szCs w:val="24"/>
        </w:rPr>
        <w:t>,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bendr</w:t>
      </w:r>
      <w:r w:rsidR="00587D2F">
        <w:rPr>
          <w:rFonts w:ascii="Times New Roman" w:hAnsi="Times New Roman" w:cs="Times New Roman"/>
          <w:sz w:val="24"/>
          <w:szCs w:val="24"/>
        </w:rPr>
        <w:t>as pagrindinio ugdymo klasių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pažangumas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pagerėjo 2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proc. (2013–2014 m. m. – 96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,8 proc.), 5–8 klasėse – </w:t>
      </w:r>
      <w:r w:rsidR="00375BC6">
        <w:rPr>
          <w:rFonts w:ascii="Times New Roman" w:hAnsi="Times New Roman" w:cs="Times New Roman"/>
          <w:sz w:val="24"/>
          <w:szCs w:val="24"/>
        </w:rPr>
        <w:t>2,67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proc. taip pat </w:t>
      </w:r>
      <w:r w:rsidR="00375BC6">
        <w:rPr>
          <w:rFonts w:ascii="Times New Roman" w:hAnsi="Times New Roman" w:cs="Times New Roman"/>
          <w:sz w:val="24"/>
          <w:szCs w:val="24"/>
        </w:rPr>
        <w:t>pagerėj</w:t>
      </w:r>
      <w:r w:rsidR="00375BC6" w:rsidRPr="00932142">
        <w:rPr>
          <w:rFonts w:ascii="Times New Roman" w:hAnsi="Times New Roman" w:cs="Times New Roman"/>
          <w:sz w:val="24"/>
          <w:szCs w:val="24"/>
        </w:rPr>
        <w:t>o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1,08</w:t>
      </w:r>
      <w:r w:rsidR="00656C62">
        <w:rPr>
          <w:rFonts w:ascii="Times New Roman" w:hAnsi="Times New Roman" w:cs="Times New Roman"/>
          <w:sz w:val="24"/>
          <w:szCs w:val="24"/>
        </w:rPr>
        <w:t xml:space="preserve"> proc.).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Šis rezultatas netenkina mokytojų</w:t>
      </w:r>
      <w:r w:rsidR="00587D2F">
        <w:rPr>
          <w:rFonts w:ascii="Times New Roman" w:hAnsi="Times New Roman" w:cs="Times New Roman"/>
          <w:sz w:val="24"/>
          <w:szCs w:val="24"/>
        </w:rPr>
        <w:t xml:space="preserve"> bendruomenės, </w:t>
      </w:r>
      <w:r w:rsidR="00375BC6" w:rsidRPr="00932142">
        <w:rPr>
          <w:rFonts w:ascii="Times New Roman" w:hAnsi="Times New Roman" w:cs="Times New Roman"/>
          <w:sz w:val="24"/>
          <w:szCs w:val="24"/>
        </w:rPr>
        <w:t>nes</w:t>
      </w:r>
      <w:r w:rsidR="00656C62">
        <w:rPr>
          <w:rFonts w:ascii="Times New Roman" w:hAnsi="Times New Roman" w:cs="Times New Roman"/>
          <w:sz w:val="24"/>
          <w:szCs w:val="24"/>
        </w:rPr>
        <w:t xml:space="preserve"> mokyklos ugdymo prioritetas –kiekvieno mokinio sėkmės užtikrinimas.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Deja, pažangos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656C62">
        <w:rPr>
          <w:rFonts w:ascii="Times New Roman" w:hAnsi="Times New Roman" w:cs="Times New Roman"/>
          <w:sz w:val="24"/>
          <w:szCs w:val="24"/>
        </w:rPr>
        <w:t xml:space="preserve">kokybę lemia nepakankama pavienių mokinių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mokymosi  motyvacija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>, nenoras siekti bent minimalaus gebėjimų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ir </w:t>
      </w:r>
      <w:r w:rsidR="00656C62">
        <w:rPr>
          <w:rFonts w:ascii="Times New Roman" w:hAnsi="Times New Roman" w:cs="Times New Roman"/>
          <w:sz w:val="24"/>
          <w:szCs w:val="24"/>
        </w:rPr>
        <w:t xml:space="preserve">žinių lygio,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ugdytis bendrąsias kompetencijas. </w:t>
      </w:r>
    </w:p>
    <w:p w:rsidR="00A6321E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C62">
        <w:rPr>
          <w:rFonts w:ascii="Times New Roman" w:hAnsi="Times New Roman" w:cs="Times New Roman"/>
          <w:sz w:val="24"/>
          <w:szCs w:val="24"/>
        </w:rPr>
        <w:t xml:space="preserve">Pradinėse klasėse patenkinamą ir/arba </w:t>
      </w:r>
      <w:r w:rsidR="00375BC6" w:rsidRPr="00932142">
        <w:rPr>
          <w:rFonts w:ascii="Times New Roman" w:hAnsi="Times New Roman" w:cs="Times New Roman"/>
          <w:sz w:val="24"/>
          <w:szCs w:val="24"/>
        </w:rPr>
        <w:t>pagrindi</w:t>
      </w:r>
      <w:r w:rsidR="00375BC6">
        <w:rPr>
          <w:rFonts w:ascii="Times New Roman" w:hAnsi="Times New Roman" w:cs="Times New Roman"/>
          <w:sz w:val="24"/>
          <w:szCs w:val="24"/>
        </w:rPr>
        <w:t>n</w:t>
      </w:r>
      <w:r w:rsidR="00656C62">
        <w:rPr>
          <w:rFonts w:ascii="Times New Roman" w:hAnsi="Times New Roman" w:cs="Times New Roman"/>
          <w:sz w:val="24"/>
          <w:szCs w:val="24"/>
        </w:rPr>
        <w:t>į pasiekimų lygį pasiekė 72</w:t>
      </w:r>
      <w:r w:rsidR="00375BC6">
        <w:rPr>
          <w:rFonts w:ascii="Times New Roman" w:hAnsi="Times New Roman" w:cs="Times New Roman"/>
          <w:sz w:val="24"/>
          <w:szCs w:val="24"/>
        </w:rPr>
        <w:t xml:space="preserve"> mokiniai</w:t>
      </w:r>
      <w:r w:rsidR="00656C62">
        <w:rPr>
          <w:rFonts w:ascii="Times New Roman" w:hAnsi="Times New Roman" w:cs="Times New Roman"/>
          <w:sz w:val="24"/>
          <w:szCs w:val="24"/>
        </w:rPr>
        <w:t xml:space="preserve">, aukštesnįjį (visų mokomųjų </w:t>
      </w:r>
      <w:r w:rsidR="00375BC6" w:rsidRPr="00932142">
        <w:rPr>
          <w:rFonts w:ascii="Times New Roman" w:hAnsi="Times New Roman" w:cs="Times New Roman"/>
          <w:sz w:val="24"/>
          <w:szCs w:val="24"/>
        </w:rPr>
        <w:t>dalykų)</w:t>
      </w:r>
      <w:r w:rsidR="00840DC7">
        <w:rPr>
          <w:rFonts w:ascii="Times New Roman" w:hAnsi="Times New Roman" w:cs="Times New Roman"/>
          <w:sz w:val="24"/>
          <w:szCs w:val="24"/>
        </w:rPr>
        <w:t xml:space="preserve"> – 19</w:t>
      </w:r>
      <w:r w:rsidR="005C066F">
        <w:rPr>
          <w:rFonts w:ascii="Times New Roman" w:hAnsi="Times New Roman" w:cs="Times New Roman"/>
          <w:sz w:val="24"/>
          <w:szCs w:val="24"/>
        </w:rPr>
        <w:t xml:space="preserve"> mokinių: </w:t>
      </w:r>
      <w:r w:rsidR="00656C62">
        <w:rPr>
          <w:rFonts w:ascii="Times New Roman" w:hAnsi="Times New Roman" w:cs="Times New Roman"/>
          <w:sz w:val="24"/>
          <w:szCs w:val="24"/>
        </w:rPr>
        <w:t xml:space="preserve">tai sudaro </w:t>
      </w:r>
      <w:r w:rsidR="00375BC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,65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r w:rsidR="00656C62">
        <w:rPr>
          <w:rFonts w:ascii="Times New Roman" w:hAnsi="Times New Roman" w:cs="Times New Roman"/>
          <w:sz w:val="24"/>
          <w:szCs w:val="24"/>
        </w:rPr>
        <w:t xml:space="preserve">proc. </w:t>
      </w:r>
      <w:r w:rsidR="005C066F">
        <w:rPr>
          <w:rFonts w:ascii="Times New Roman" w:hAnsi="Times New Roman" w:cs="Times New Roman"/>
          <w:sz w:val="24"/>
          <w:szCs w:val="24"/>
        </w:rPr>
        <w:t>(</w:t>
      </w:r>
      <w:r w:rsidR="00375BC6">
        <w:rPr>
          <w:rFonts w:ascii="Times New Roman" w:hAnsi="Times New Roman" w:cs="Times New Roman"/>
          <w:sz w:val="24"/>
          <w:szCs w:val="24"/>
        </w:rPr>
        <w:t xml:space="preserve">3,2 </w:t>
      </w:r>
      <w:r w:rsidR="00656C62">
        <w:rPr>
          <w:rFonts w:ascii="Times New Roman" w:hAnsi="Times New Roman" w:cs="Times New Roman"/>
          <w:sz w:val="24"/>
          <w:szCs w:val="24"/>
        </w:rPr>
        <w:t xml:space="preserve">proc. </w:t>
      </w:r>
      <w:r w:rsidR="00375BC6">
        <w:rPr>
          <w:rFonts w:ascii="Times New Roman" w:hAnsi="Times New Roman" w:cs="Times New Roman"/>
          <w:sz w:val="24"/>
          <w:szCs w:val="24"/>
        </w:rPr>
        <w:t>daugiau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5F7B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BC6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5-8 klasėse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 xml:space="preserve">aukštesniuoju lygiu </w:t>
      </w:r>
      <w:r w:rsidR="00375BC6" w:rsidRPr="00932142">
        <w:rPr>
          <w:rFonts w:ascii="Times New Roman" w:hAnsi="Times New Roman" w:cs="Times New Roman"/>
          <w:sz w:val="24"/>
          <w:szCs w:val="24"/>
        </w:rPr>
        <w:t>bes</w:t>
      </w:r>
      <w:r w:rsidR="005F7BBB">
        <w:rPr>
          <w:rFonts w:ascii="Times New Roman" w:hAnsi="Times New Roman" w:cs="Times New Roman"/>
          <w:sz w:val="24"/>
          <w:szCs w:val="24"/>
        </w:rPr>
        <w:t>imokančiųjų</w:t>
      </w:r>
      <w:r w:rsidR="00656C62">
        <w:rPr>
          <w:rFonts w:ascii="Times New Roman" w:hAnsi="Times New Roman" w:cs="Times New Roman"/>
          <w:sz w:val="24"/>
          <w:szCs w:val="24"/>
        </w:rPr>
        <w:t xml:space="preserve"> buvo</w:t>
      </w:r>
      <w:r w:rsidR="00375BC6">
        <w:rPr>
          <w:rFonts w:ascii="Times New Roman" w:hAnsi="Times New Roman" w:cs="Times New Roman"/>
          <w:sz w:val="24"/>
          <w:szCs w:val="24"/>
        </w:rPr>
        <w:t xml:space="preserve"> 8</w:t>
      </w:r>
      <w:r w:rsidR="00656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Tai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sudaro </w:t>
      </w:r>
      <w:r w:rsidR="00375BC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proc.(kaip ir pernai).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Pagrindiniu lygiu mokosi 37 mokiniai.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Tai sudaro 33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proc.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8A2CEF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 xml:space="preserve">30,07 proc.)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 xml:space="preserve">Patenkinamai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mokėsi </w:t>
      </w:r>
      <w:r w:rsidR="00375BC6">
        <w:rPr>
          <w:rFonts w:ascii="Times New Roman" w:hAnsi="Times New Roman" w:cs="Times New Roman"/>
          <w:sz w:val="24"/>
          <w:szCs w:val="24"/>
        </w:rPr>
        <w:t>61</w:t>
      </w:r>
      <w:r w:rsidR="00587D2F">
        <w:rPr>
          <w:rFonts w:ascii="Times New Roman" w:hAnsi="Times New Roman" w:cs="Times New Roman"/>
          <w:sz w:val="24"/>
          <w:szCs w:val="24"/>
        </w:rPr>
        <w:t xml:space="preserve"> mokiniai </w:t>
      </w:r>
      <w:r w:rsidR="00375BC6" w:rsidRPr="00932142">
        <w:rPr>
          <w:rFonts w:ascii="Times New Roman" w:hAnsi="Times New Roman" w:cs="Times New Roman"/>
          <w:sz w:val="24"/>
          <w:szCs w:val="24"/>
        </w:rPr>
        <w:t>(</w:t>
      </w:r>
      <w:r w:rsidR="00375BC6">
        <w:rPr>
          <w:rFonts w:ascii="Times New Roman" w:hAnsi="Times New Roman" w:cs="Times New Roman"/>
          <w:sz w:val="24"/>
          <w:szCs w:val="24"/>
        </w:rPr>
        <w:t>54.46</w:t>
      </w:r>
      <w:r w:rsidR="00656C62">
        <w:rPr>
          <w:rFonts w:ascii="Times New Roman" w:hAnsi="Times New Roman" w:cs="Times New Roman"/>
          <w:sz w:val="24"/>
          <w:szCs w:val="24"/>
        </w:rPr>
        <w:t xml:space="preserve"> proc.)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 xml:space="preserve">Lyginant </w:t>
      </w:r>
      <w:r w:rsidR="00375BC6" w:rsidRPr="00932142">
        <w:rPr>
          <w:rFonts w:ascii="Times New Roman" w:hAnsi="Times New Roman" w:cs="Times New Roman"/>
          <w:sz w:val="24"/>
          <w:szCs w:val="24"/>
        </w:rPr>
        <w:t>su 2</w:t>
      </w:r>
      <w:r w:rsidR="00375BC6">
        <w:rPr>
          <w:rFonts w:ascii="Times New Roman" w:hAnsi="Times New Roman" w:cs="Times New Roman"/>
          <w:sz w:val="24"/>
          <w:szCs w:val="24"/>
        </w:rPr>
        <w:t>013–2014</w:t>
      </w:r>
      <w:r w:rsidR="00656C62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. </w:t>
      </w:r>
      <w:r w:rsidR="00375BC6" w:rsidRPr="00932142">
        <w:rPr>
          <w:rFonts w:ascii="Times New Roman" w:hAnsi="Times New Roman" w:cs="Times New Roman"/>
          <w:sz w:val="24"/>
          <w:szCs w:val="24"/>
        </w:rPr>
        <w:t>patenk</w:t>
      </w:r>
      <w:r w:rsidR="00587D2F">
        <w:rPr>
          <w:rFonts w:ascii="Times New Roman" w:hAnsi="Times New Roman" w:cs="Times New Roman"/>
          <w:sz w:val="24"/>
          <w:szCs w:val="24"/>
        </w:rPr>
        <w:t xml:space="preserve">inamai </w:t>
      </w:r>
      <w:r w:rsidR="00656C62">
        <w:rPr>
          <w:rFonts w:ascii="Times New Roman" w:hAnsi="Times New Roman" w:cs="Times New Roman"/>
          <w:sz w:val="24"/>
          <w:szCs w:val="24"/>
        </w:rPr>
        <w:t>besimo</w:t>
      </w:r>
      <w:r w:rsidR="00587D2F">
        <w:rPr>
          <w:rFonts w:ascii="Times New Roman" w:hAnsi="Times New Roman" w:cs="Times New Roman"/>
          <w:sz w:val="24"/>
          <w:szCs w:val="24"/>
        </w:rPr>
        <w:t xml:space="preserve">kančių </w:t>
      </w:r>
      <w:r w:rsidR="00656C62">
        <w:rPr>
          <w:rFonts w:ascii="Times New Roman" w:hAnsi="Times New Roman" w:cs="Times New Roman"/>
          <w:sz w:val="24"/>
          <w:szCs w:val="24"/>
        </w:rPr>
        <w:t xml:space="preserve">sumažėjo </w:t>
      </w:r>
      <w:r w:rsidR="00375BC6">
        <w:rPr>
          <w:rFonts w:ascii="Times New Roman" w:hAnsi="Times New Roman" w:cs="Times New Roman"/>
          <w:sz w:val="24"/>
          <w:szCs w:val="24"/>
        </w:rPr>
        <w:t>6.25</w:t>
      </w:r>
      <w:r w:rsidR="00656C62">
        <w:rPr>
          <w:rFonts w:ascii="Times New Roman" w:hAnsi="Times New Roman" w:cs="Times New Roman"/>
          <w:sz w:val="24"/>
          <w:szCs w:val="24"/>
        </w:rPr>
        <w:t xml:space="preserve"> proc.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60.71</w:t>
      </w:r>
      <w:r w:rsidR="00656C62">
        <w:rPr>
          <w:rFonts w:ascii="Times New Roman" w:hAnsi="Times New Roman" w:cs="Times New Roman"/>
          <w:sz w:val="24"/>
          <w:szCs w:val="24"/>
        </w:rPr>
        <w:t xml:space="preserve"> proc.). </w:t>
      </w:r>
      <w:r w:rsidR="00375BC6">
        <w:rPr>
          <w:rFonts w:ascii="Times New Roman" w:hAnsi="Times New Roman" w:cs="Times New Roman"/>
          <w:sz w:val="24"/>
          <w:szCs w:val="24"/>
        </w:rPr>
        <w:t>N</w:t>
      </w:r>
      <w:r w:rsidR="008A2CEF">
        <w:rPr>
          <w:rFonts w:ascii="Times New Roman" w:hAnsi="Times New Roman" w:cs="Times New Roman"/>
          <w:sz w:val="24"/>
          <w:szCs w:val="24"/>
        </w:rPr>
        <w:t>epažangių mokinių sudaro 6</w:t>
      </w:r>
      <w:proofErr w:type="gramStart"/>
      <w:r w:rsidR="008A2CEF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="008A2CEF">
        <w:rPr>
          <w:rFonts w:ascii="Times New Roman" w:hAnsi="Times New Roman" w:cs="Times New Roman"/>
          <w:sz w:val="24"/>
          <w:szCs w:val="24"/>
        </w:rPr>
        <w:t xml:space="preserve"> pro</w:t>
      </w:r>
      <w:r w:rsidR="00375BC6">
        <w:rPr>
          <w:rFonts w:ascii="Times New Roman" w:hAnsi="Times New Roman" w:cs="Times New Roman"/>
          <w:sz w:val="24"/>
          <w:szCs w:val="24"/>
        </w:rPr>
        <w:t>c.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7.37 proc.)</w:t>
      </w:r>
    </w:p>
    <w:p w:rsidR="005C066F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1g-4g klasėse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 xml:space="preserve">aukštesniuoju lygiu </w:t>
      </w:r>
      <w:r w:rsidR="00375BC6" w:rsidRPr="00932142">
        <w:rPr>
          <w:rFonts w:ascii="Times New Roman" w:hAnsi="Times New Roman" w:cs="Times New Roman"/>
          <w:sz w:val="24"/>
          <w:szCs w:val="24"/>
        </w:rPr>
        <w:t>bes</w:t>
      </w:r>
      <w:r w:rsidR="00587D2F">
        <w:rPr>
          <w:rFonts w:ascii="Times New Roman" w:hAnsi="Times New Roman" w:cs="Times New Roman"/>
          <w:sz w:val="24"/>
          <w:szCs w:val="24"/>
        </w:rPr>
        <w:t xml:space="preserve">imokančiųjų buvo </w:t>
      </w:r>
      <w:r w:rsidR="00375BC6">
        <w:rPr>
          <w:rFonts w:ascii="Times New Roman" w:hAnsi="Times New Roman" w:cs="Times New Roman"/>
          <w:sz w:val="24"/>
          <w:szCs w:val="24"/>
        </w:rPr>
        <w:t>3</w:t>
      </w:r>
      <w:r w:rsidR="00587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Tai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sudaro </w:t>
      </w:r>
      <w:r w:rsidR="00375BC6">
        <w:rPr>
          <w:rFonts w:ascii="Times New Roman" w:hAnsi="Times New Roman" w:cs="Times New Roman"/>
          <w:sz w:val="24"/>
          <w:szCs w:val="24"/>
        </w:rPr>
        <w:t>3.71 proc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kaip ir pernai).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Pagrindiniu lygiu mokosi 17 mokiniai.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Tai 20.23 proc.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8A2CEF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proc.)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Patenkinamai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mokėsi </w:t>
      </w:r>
      <w:r w:rsidR="00375BC6">
        <w:rPr>
          <w:rFonts w:ascii="Times New Roman" w:hAnsi="Times New Roman" w:cs="Times New Roman"/>
          <w:sz w:val="24"/>
          <w:szCs w:val="24"/>
        </w:rPr>
        <w:t>54</w:t>
      </w:r>
      <w:r w:rsidR="00587D2F">
        <w:rPr>
          <w:rFonts w:ascii="Times New Roman" w:hAnsi="Times New Roman" w:cs="Times New Roman"/>
          <w:sz w:val="24"/>
          <w:szCs w:val="24"/>
        </w:rPr>
        <w:t xml:space="preserve"> mokiniai </w:t>
      </w:r>
      <w:r w:rsidR="00375BC6" w:rsidRPr="00932142">
        <w:rPr>
          <w:rFonts w:ascii="Times New Roman" w:hAnsi="Times New Roman" w:cs="Times New Roman"/>
          <w:sz w:val="24"/>
          <w:szCs w:val="24"/>
        </w:rPr>
        <w:t>(</w:t>
      </w:r>
      <w:r w:rsidR="00375BC6">
        <w:rPr>
          <w:rFonts w:ascii="Times New Roman" w:hAnsi="Times New Roman" w:cs="Times New Roman"/>
          <w:sz w:val="24"/>
          <w:szCs w:val="24"/>
        </w:rPr>
        <w:t>64.28</w:t>
      </w:r>
      <w:r w:rsidR="00587D2F">
        <w:rPr>
          <w:rFonts w:ascii="Times New Roman" w:hAnsi="Times New Roman" w:cs="Times New Roman"/>
          <w:sz w:val="24"/>
          <w:szCs w:val="24"/>
        </w:rPr>
        <w:t xml:space="preserve"> proc.)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Lyginant </w:t>
      </w:r>
      <w:r w:rsidR="00375BC6" w:rsidRPr="00932142">
        <w:rPr>
          <w:rFonts w:ascii="Times New Roman" w:hAnsi="Times New Roman" w:cs="Times New Roman"/>
          <w:sz w:val="24"/>
          <w:szCs w:val="24"/>
        </w:rPr>
        <w:t>su 2</w:t>
      </w:r>
      <w:r w:rsidR="00375BC6">
        <w:rPr>
          <w:rFonts w:ascii="Times New Roman" w:hAnsi="Times New Roman" w:cs="Times New Roman"/>
          <w:sz w:val="24"/>
          <w:szCs w:val="24"/>
        </w:rPr>
        <w:t>013–2014</w:t>
      </w:r>
      <w:r w:rsidR="005F7BBB">
        <w:rPr>
          <w:rFonts w:ascii="Times New Roman" w:hAnsi="Times New Roman" w:cs="Times New Roman"/>
          <w:sz w:val="24"/>
          <w:szCs w:val="24"/>
        </w:rPr>
        <w:t xml:space="preserve"> m. </w:t>
      </w:r>
      <w:r w:rsidR="00587D2F">
        <w:rPr>
          <w:rFonts w:ascii="Times New Roman" w:hAnsi="Times New Roman" w:cs="Times New Roman"/>
          <w:sz w:val="24"/>
          <w:szCs w:val="24"/>
        </w:rPr>
        <w:t xml:space="preserve">m. </w:t>
      </w:r>
      <w:r w:rsidR="00656C62">
        <w:rPr>
          <w:rFonts w:ascii="Times New Roman" w:hAnsi="Times New Roman" w:cs="Times New Roman"/>
          <w:sz w:val="24"/>
          <w:szCs w:val="24"/>
        </w:rPr>
        <w:t xml:space="preserve">patenkinamai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besimokančių </w:t>
      </w:r>
      <w:r w:rsidR="00375BC6">
        <w:rPr>
          <w:rFonts w:ascii="Times New Roman" w:hAnsi="Times New Roman" w:cs="Times New Roman"/>
          <w:sz w:val="24"/>
          <w:szCs w:val="24"/>
        </w:rPr>
        <w:t>padaugėjo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,57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proc. (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60.71</w:t>
      </w:r>
      <w:r w:rsidR="00656C62">
        <w:rPr>
          <w:rFonts w:ascii="Times New Roman" w:hAnsi="Times New Roman" w:cs="Times New Roman"/>
          <w:sz w:val="24"/>
          <w:szCs w:val="24"/>
        </w:rPr>
        <w:t xml:space="preserve"> proc.).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Nepažangių mokinių sudaro 9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,52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proc.(</w:t>
      </w:r>
      <w:r w:rsidR="008A2CEF" w:rsidRPr="008A2CEF">
        <w:rPr>
          <w:rFonts w:ascii="Times New Roman" w:hAnsi="Times New Roman" w:cs="Times New Roman"/>
          <w:sz w:val="24"/>
          <w:szCs w:val="24"/>
        </w:rPr>
        <w:t xml:space="preserve"> </w:t>
      </w:r>
      <w:r w:rsidR="008A2CEF">
        <w:rPr>
          <w:rFonts w:ascii="Times New Roman" w:hAnsi="Times New Roman" w:cs="Times New Roman"/>
          <w:sz w:val="24"/>
          <w:szCs w:val="24"/>
        </w:rPr>
        <w:t>praeitais mokslo metais</w:t>
      </w:r>
      <w:r w:rsidR="008A2CEF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 xml:space="preserve">9,78 proc. </w:t>
      </w:r>
    </w:p>
    <w:p w:rsidR="00375BC6" w:rsidRPr="00932142" w:rsidRDefault="00656C62" w:rsidP="005C0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Taigi nors pažangumo </w:t>
      </w:r>
      <w:r w:rsidR="00587D2F">
        <w:rPr>
          <w:rFonts w:ascii="Times New Roman" w:hAnsi="Times New Roman" w:cs="Times New Roman"/>
          <w:sz w:val="24"/>
          <w:szCs w:val="24"/>
        </w:rPr>
        <w:t>rodikliai beveik</w:t>
      </w:r>
      <w:r>
        <w:rPr>
          <w:rFonts w:ascii="Times New Roman" w:hAnsi="Times New Roman" w:cs="Times New Roman"/>
          <w:sz w:val="24"/>
          <w:szCs w:val="24"/>
        </w:rPr>
        <w:t xml:space="preserve"> nepakito, tačiau vyresnėse klasėse ženkliai sumažėjo </w:t>
      </w:r>
      <w:r w:rsidR="00375BC6" w:rsidRPr="00932142">
        <w:rPr>
          <w:rFonts w:ascii="Times New Roman" w:hAnsi="Times New Roman" w:cs="Times New Roman"/>
          <w:sz w:val="24"/>
          <w:szCs w:val="24"/>
        </w:rPr>
        <w:t>patenkinamai besimokančiųjų skaičius</w:t>
      </w:r>
      <w:r w:rsidR="00375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BC6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4 ir 8 klasės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dalyvavo standartizuotų testų patikrinime.</w:t>
      </w:r>
      <w:proofErr w:type="gramEnd"/>
    </w:p>
    <w:p w:rsidR="00375BC6" w:rsidRDefault="00A6321E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C6">
        <w:rPr>
          <w:rFonts w:ascii="Times New Roman" w:hAnsi="Times New Roman" w:cs="Times New Roman"/>
          <w:sz w:val="24"/>
          <w:szCs w:val="24"/>
        </w:rPr>
        <w:t>8 klasė</w:t>
      </w:r>
    </w:p>
    <w:p w:rsidR="00375BC6" w:rsidRPr="00661EFB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Skaitymas: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A - 10%;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Pg - 20%;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Pt – 53.3%;          Npt – 16.7%</w:t>
      </w:r>
    </w:p>
    <w:p w:rsidR="00375BC6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Rašymas: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A – 3.57%;  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Pg  - 32.1%;         Pt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32.1%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Npt – 28.6%</w:t>
      </w:r>
    </w:p>
    <w:p w:rsidR="00375BC6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Matematika: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>A - 0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>Pg – 32.14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>%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Pt – 35.7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     </w:t>
      </w:r>
      <w:r w:rsidR="00AA339A">
        <w:rPr>
          <w:rFonts w:ascii="Cambria Math" w:hAnsi="Cambria Math" w:cs="Times New Roman"/>
          <w:sz w:val="24"/>
          <w:szCs w:val="24"/>
          <w:lang w:val="lt-LT"/>
        </w:rPr>
        <w:t xml:space="preserve"> 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    </w:t>
      </w:r>
      <w:r w:rsidR="00AA339A">
        <w:rPr>
          <w:rFonts w:ascii="Cambria Math" w:hAnsi="Cambria Math" w:cs="Times New Roman"/>
          <w:sz w:val="24"/>
          <w:szCs w:val="24"/>
          <w:lang w:val="lt-LT"/>
        </w:rPr>
        <w:t xml:space="preserve"> 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>Npt – 32.14%</w:t>
      </w:r>
    </w:p>
    <w:p w:rsidR="00375BC6" w:rsidRPr="00661EFB" w:rsidRDefault="00375BC6" w:rsidP="00375BC6">
      <w:pPr>
        <w:pStyle w:val="ListParagraph"/>
        <w:ind w:left="0"/>
        <w:rPr>
          <w:rFonts w:ascii="Cambria Math" w:hAnsi="Cambria Math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Socialiniai mokslai: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>A – 8.33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Pg – 39.29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>%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Pt – 39.28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</w:t>
      </w:r>
      <w:r>
        <w:rPr>
          <w:rFonts w:ascii="Cambria Math" w:hAnsi="Cambria Math" w:cs="Times New Roman"/>
          <w:sz w:val="24"/>
          <w:szCs w:val="24"/>
          <w:lang w:val="lt-LT"/>
        </w:rPr>
        <w:t xml:space="preserve">      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  Npt – 17.86%</w:t>
      </w:r>
    </w:p>
    <w:p w:rsidR="00375BC6" w:rsidRDefault="00375BC6" w:rsidP="00375BC6">
      <w:pPr>
        <w:pStyle w:val="ListParagraph"/>
        <w:ind w:left="0"/>
        <w:rPr>
          <w:rFonts w:ascii="Cambria Math" w:hAnsi="Cambria Math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Gamtos mokslai: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>A – 0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Pg – 37.03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>%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Pt – 51.8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 xml:space="preserve">%;          </w:t>
      </w:r>
      <w:r w:rsidR="00AA339A">
        <w:rPr>
          <w:rFonts w:ascii="Cambria Math" w:hAnsi="Cambria Math" w:cs="Times New Roman"/>
          <w:sz w:val="24"/>
          <w:szCs w:val="24"/>
          <w:lang w:val="lt-LT"/>
        </w:rPr>
        <w:t xml:space="preserve"> </w:t>
      </w:r>
      <w:r w:rsidRPr="00661EFB">
        <w:rPr>
          <w:rFonts w:ascii="Cambria Math" w:hAnsi="Cambria Math" w:cs="Times New Roman"/>
          <w:sz w:val="24"/>
          <w:szCs w:val="24"/>
          <w:lang w:val="lt-LT"/>
        </w:rPr>
        <w:t>Npt – 3.7%</w:t>
      </w:r>
    </w:p>
    <w:p w:rsidR="00375BC6" w:rsidRDefault="00A6321E" w:rsidP="00375BC6">
      <w:pPr>
        <w:pStyle w:val="ListParagraph"/>
        <w:ind w:left="0"/>
        <w:rPr>
          <w:rFonts w:ascii="Cambria Math" w:hAnsi="Cambria Math" w:cs="Times New Roman"/>
          <w:sz w:val="24"/>
          <w:szCs w:val="24"/>
          <w:lang w:val="lt-LT"/>
        </w:rPr>
      </w:pPr>
      <w:r>
        <w:rPr>
          <w:rFonts w:ascii="Cambria Math" w:hAnsi="Cambria Math" w:cs="Times New Roman"/>
          <w:sz w:val="24"/>
          <w:szCs w:val="24"/>
          <w:lang w:val="lt-LT"/>
        </w:rPr>
        <w:tab/>
      </w:r>
      <w:r w:rsidR="00375BC6">
        <w:rPr>
          <w:rFonts w:ascii="Cambria Math" w:hAnsi="Cambria Math" w:cs="Times New Roman"/>
          <w:sz w:val="24"/>
          <w:szCs w:val="24"/>
          <w:lang w:val="lt-LT"/>
        </w:rPr>
        <w:t>4 klasė</w:t>
      </w:r>
    </w:p>
    <w:p w:rsidR="00375BC6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Skaitymas: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A – 15.38%;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Pg - 28%;           Pt – 44%;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Npt – 20% </w:t>
      </w:r>
    </w:p>
    <w:p w:rsidR="00375BC6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>Rašymas: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 – 7.69%;         Pg  - 56%;    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Pt – 24%  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Npt –16%</w:t>
      </w:r>
    </w:p>
    <w:p w:rsidR="00375BC6" w:rsidRPr="00661EFB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Matematika: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A – 4.35%;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 Pg – 60.86%;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 Pt – 26.08%;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Npt – 8.7%</w:t>
      </w:r>
    </w:p>
    <w:p w:rsidR="00375BC6" w:rsidRPr="00661EFB" w:rsidRDefault="00375BC6" w:rsidP="00375BC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661EFB">
        <w:rPr>
          <w:rFonts w:ascii="Times New Roman" w:hAnsi="Times New Roman" w:cs="Times New Roman"/>
          <w:sz w:val="24"/>
          <w:szCs w:val="24"/>
          <w:lang w:val="lt-LT"/>
        </w:rPr>
        <w:t>Pasaulio pažinimas: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A - 12%;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Pg – 52%;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Pt – 32%;         </w:t>
      </w:r>
      <w:r w:rsidR="00AA339A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661EFB">
        <w:rPr>
          <w:rFonts w:ascii="Times New Roman" w:hAnsi="Times New Roman" w:cs="Times New Roman"/>
          <w:sz w:val="24"/>
          <w:szCs w:val="24"/>
          <w:lang w:val="lt-LT"/>
        </w:rPr>
        <w:t xml:space="preserve"> Npt – 4%</w:t>
      </w:r>
    </w:p>
    <w:p w:rsidR="00375BC6" w:rsidRPr="00932142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Mokymosi kokybę, pažangumo rodiklius tiesiogiai veikia lankomumas.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1–4 klasėse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per mokslo metus praleista </w:t>
      </w:r>
      <w:r w:rsidR="00375BC6">
        <w:rPr>
          <w:rFonts w:ascii="Times New Roman" w:hAnsi="Times New Roman" w:cs="Times New Roman"/>
          <w:sz w:val="24"/>
          <w:szCs w:val="24"/>
        </w:rPr>
        <w:t>2825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pamokos (vienam mokiniui tenka </w:t>
      </w:r>
      <w:r w:rsidR="00375BC6">
        <w:rPr>
          <w:rFonts w:ascii="Times New Roman" w:hAnsi="Times New Roman" w:cs="Times New Roman"/>
          <w:sz w:val="24"/>
          <w:szCs w:val="24"/>
        </w:rPr>
        <w:t>30.7), 5–8</w:t>
      </w:r>
      <w:r w:rsidR="00656C62">
        <w:rPr>
          <w:rFonts w:ascii="Times New Roman" w:hAnsi="Times New Roman" w:cs="Times New Roman"/>
          <w:sz w:val="24"/>
          <w:szCs w:val="24"/>
        </w:rPr>
        <w:t xml:space="preserve"> klasėse – </w:t>
      </w:r>
      <w:r w:rsidR="00375BC6">
        <w:rPr>
          <w:rFonts w:ascii="Times New Roman" w:hAnsi="Times New Roman" w:cs="Times New Roman"/>
          <w:sz w:val="24"/>
          <w:szCs w:val="24"/>
        </w:rPr>
        <w:t>7954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(vienam mokiniui tenka </w:t>
      </w:r>
      <w:r w:rsidR="00375BC6">
        <w:rPr>
          <w:rFonts w:ascii="Times New Roman" w:hAnsi="Times New Roman" w:cs="Times New Roman"/>
          <w:sz w:val="24"/>
          <w:szCs w:val="24"/>
        </w:rPr>
        <w:lastRenderedPageBreak/>
        <w:t>71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="00840DC7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pamokos), </w:t>
      </w:r>
      <w:r w:rsidR="00375BC6">
        <w:rPr>
          <w:rFonts w:ascii="Times New Roman" w:hAnsi="Times New Roman" w:cs="Times New Roman"/>
          <w:sz w:val="24"/>
          <w:szCs w:val="24"/>
        </w:rPr>
        <w:t>1g-4g klasėse – 9471 (vienam mokiniui tenka 112,75 pamokos)</w:t>
      </w:r>
      <w:r w:rsidR="00656C62">
        <w:rPr>
          <w:rFonts w:ascii="Times New Roman" w:hAnsi="Times New Roman" w:cs="Times New Roman"/>
          <w:sz w:val="24"/>
          <w:szCs w:val="24"/>
        </w:rPr>
        <w:t xml:space="preserve"> –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iš viso </w:t>
      </w:r>
      <w:r w:rsidR="00375BC6">
        <w:rPr>
          <w:rFonts w:ascii="Times New Roman" w:hAnsi="Times New Roman" w:cs="Times New Roman"/>
          <w:sz w:val="24"/>
          <w:szCs w:val="24"/>
        </w:rPr>
        <w:t>20 225</w:t>
      </w:r>
      <w:r w:rsidR="00656C62">
        <w:rPr>
          <w:rFonts w:ascii="Times New Roman" w:hAnsi="Times New Roman" w:cs="Times New Roman"/>
          <w:sz w:val="24"/>
          <w:szCs w:val="24"/>
        </w:rPr>
        <w:t xml:space="preserve"> (pernai </w:t>
      </w:r>
      <w:r w:rsidR="00375BC6">
        <w:rPr>
          <w:rFonts w:ascii="Times New Roman" w:hAnsi="Times New Roman" w:cs="Times New Roman"/>
          <w:sz w:val="24"/>
          <w:szCs w:val="24"/>
        </w:rPr>
        <w:t>24 244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). Iš jų </w:t>
      </w:r>
      <w:r w:rsidR="00375BC6">
        <w:rPr>
          <w:rFonts w:ascii="Times New Roman" w:hAnsi="Times New Roman" w:cs="Times New Roman"/>
          <w:sz w:val="24"/>
          <w:szCs w:val="24"/>
        </w:rPr>
        <w:t>ne</w:t>
      </w:r>
      <w:r w:rsidR="00375BC6" w:rsidRPr="00932142">
        <w:rPr>
          <w:rFonts w:ascii="Times New Roman" w:hAnsi="Times New Roman" w:cs="Times New Roman"/>
          <w:sz w:val="24"/>
          <w:szCs w:val="24"/>
        </w:rPr>
        <w:t>pateisinta</w:t>
      </w:r>
      <w:r w:rsidR="00375BC6">
        <w:rPr>
          <w:rFonts w:ascii="Times New Roman" w:hAnsi="Times New Roman" w:cs="Times New Roman"/>
          <w:sz w:val="24"/>
          <w:szCs w:val="24"/>
        </w:rPr>
        <w:t xml:space="preserve"> 4 860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( vienam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mokiniui tenka 16.87 pamokos)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(pernai </w:t>
      </w:r>
      <w:r w:rsidR="00375BC6">
        <w:rPr>
          <w:rFonts w:ascii="Times New Roman" w:hAnsi="Times New Roman" w:cs="Times New Roman"/>
          <w:sz w:val="24"/>
          <w:szCs w:val="24"/>
        </w:rPr>
        <w:t xml:space="preserve">nepateisinta 7608 pamokos.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Vienam mokiniui teko 25.87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pamokų).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Nepateisintų pamokų skaičius didžiausias</w:t>
      </w:r>
      <w:r w:rsidR="00375BC6">
        <w:rPr>
          <w:rFonts w:ascii="Times New Roman" w:hAnsi="Times New Roman" w:cs="Times New Roman"/>
          <w:sz w:val="24"/>
          <w:szCs w:val="24"/>
        </w:rPr>
        <w:t xml:space="preserve"> 7-oje, </w:t>
      </w:r>
      <w:r w:rsidR="00375BC6" w:rsidRPr="00932142">
        <w:rPr>
          <w:rFonts w:ascii="Times New Roman" w:hAnsi="Times New Roman" w:cs="Times New Roman"/>
          <w:sz w:val="24"/>
          <w:szCs w:val="24"/>
        </w:rPr>
        <w:t>8b</w:t>
      </w:r>
      <w:r w:rsidR="00375BC6">
        <w:rPr>
          <w:rFonts w:ascii="Times New Roman" w:hAnsi="Times New Roman" w:cs="Times New Roman"/>
          <w:sz w:val="24"/>
          <w:szCs w:val="24"/>
        </w:rPr>
        <w:t xml:space="preserve">, 1g, 3g </w:t>
      </w:r>
      <w:r w:rsidR="00656C62">
        <w:rPr>
          <w:rFonts w:ascii="Times New Roman" w:hAnsi="Times New Roman" w:cs="Times New Roman"/>
          <w:sz w:val="24"/>
          <w:szCs w:val="24"/>
        </w:rPr>
        <w:t>klasėse.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Nors mokykloje yra aiškūs susitarimai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lankomumo kontrolės, </w:t>
      </w:r>
      <w:r w:rsidR="00375BC6" w:rsidRPr="00932142">
        <w:rPr>
          <w:rFonts w:ascii="Times New Roman" w:hAnsi="Times New Roman" w:cs="Times New Roman"/>
          <w:sz w:val="24"/>
          <w:szCs w:val="24"/>
        </w:rPr>
        <w:t>teikiama</w:t>
      </w:r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r w:rsidR="00656C62">
        <w:rPr>
          <w:rFonts w:ascii="Times New Roman" w:hAnsi="Times New Roman" w:cs="Times New Roman"/>
          <w:sz w:val="24"/>
          <w:szCs w:val="24"/>
        </w:rPr>
        <w:t>socialinė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pedago</w:t>
      </w:r>
      <w:r w:rsidR="00656C62">
        <w:rPr>
          <w:rFonts w:ascii="Times New Roman" w:hAnsi="Times New Roman" w:cs="Times New Roman"/>
          <w:sz w:val="24"/>
          <w:szCs w:val="24"/>
        </w:rPr>
        <w:t xml:space="preserve">ginė pagalba, bendradarbiaujama su pagalbos institucijomis, tėvais, tačiau kartais vykdomos priemonės </w:t>
      </w:r>
      <w:r w:rsidR="00375BC6" w:rsidRPr="00932142">
        <w:rPr>
          <w:rFonts w:ascii="Times New Roman" w:hAnsi="Times New Roman" w:cs="Times New Roman"/>
          <w:sz w:val="24"/>
          <w:szCs w:val="24"/>
        </w:rPr>
        <w:t>visiš</w:t>
      </w:r>
      <w:r w:rsidR="00656C62">
        <w:rPr>
          <w:rFonts w:ascii="Times New Roman" w:hAnsi="Times New Roman" w:cs="Times New Roman"/>
          <w:sz w:val="24"/>
          <w:szCs w:val="24"/>
        </w:rPr>
        <w:t xml:space="preserve">kai neįtakoja rizikos grupės mokinių lankomumo.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 xml:space="preserve">Tai neigiamai </w:t>
      </w:r>
      <w:r w:rsidR="00375BC6" w:rsidRPr="00932142">
        <w:rPr>
          <w:rFonts w:ascii="Times New Roman" w:hAnsi="Times New Roman" w:cs="Times New Roman"/>
          <w:sz w:val="24"/>
          <w:szCs w:val="24"/>
        </w:rPr>
        <w:t>veikia klasės mikroklimatą, bendrą mokyklos ugdymosi pažangą.</w:t>
      </w:r>
      <w:proofErr w:type="gramEnd"/>
    </w:p>
    <w:p w:rsidR="00375BC6" w:rsidRPr="00932142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C6" w:rsidRPr="006B2C96">
        <w:rPr>
          <w:rFonts w:ascii="Times New Roman" w:hAnsi="Times New Roman" w:cs="Times New Roman"/>
          <w:sz w:val="24"/>
          <w:szCs w:val="24"/>
        </w:rPr>
        <w:t>Gimnazijoje mokosi</w:t>
      </w:r>
      <w:r w:rsidR="00840DC7">
        <w:rPr>
          <w:rFonts w:ascii="Times New Roman" w:hAnsi="Times New Roman" w:cs="Times New Roman"/>
          <w:sz w:val="24"/>
          <w:szCs w:val="24"/>
        </w:rPr>
        <w:t xml:space="preserve"> 37 (13 </w:t>
      </w:r>
      <w:r w:rsidR="00656C62">
        <w:rPr>
          <w:rFonts w:ascii="Times New Roman" w:hAnsi="Times New Roman" w:cs="Times New Roman"/>
          <w:sz w:val="24"/>
          <w:szCs w:val="24"/>
        </w:rPr>
        <w:t>proc.) mokinių iš Jiezno vaikų globos namų, 19 proc.</w:t>
      </w:r>
      <w:r w:rsidR="00375BC6" w:rsidRPr="006B2C96">
        <w:rPr>
          <w:rFonts w:ascii="Times New Roman" w:hAnsi="Times New Roman" w:cs="Times New Roman"/>
          <w:sz w:val="24"/>
          <w:szCs w:val="24"/>
        </w:rPr>
        <w:t xml:space="preserve"> mokinių </w:t>
      </w:r>
      <w:r w:rsidR="00656C62">
        <w:rPr>
          <w:rFonts w:ascii="Times New Roman" w:hAnsi="Times New Roman" w:cs="Times New Roman"/>
          <w:sz w:val="24"/>
          <w:szCs w:val="24"/>
        </w:rPr>
        <w:t>gyvena socialiai remiamose šeimose, 20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proc. </w:t>
      </w:r>
      <w:r w:rsidR="00375BC6" w:rsidRPr="006B2C96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656C62">
        <w:rPr>
          <w:rFonts w:ascii="Times New Roman" w:hAnsi="Times New Roman" w:cs="Times New Roman"/>
          <w:sz w:val="24"/>
          <w:szCs w:val="24"/>
        </w:rPr>
        <w:t xml:space="preserve">mokinių šeimų disfunkcinės. </w:t>
      </w:r>
      <w:r w:rsidR="00840DC7">
        <w:rPr>
          <w:rFonts w:ascii="Times New Roman" w:hAnsi="Times New Roman" w:cs="Times New Roman"/>
          <w:sz w:val="24"/>
          <w:szCs w:val="24"/>
        </w:rPr>
        <w:t>Nemokamas</w:t>
      </w:r>
      <w:r w:rsidR="00375BC6" w:rsidRPr="006B2C96">
        <w:rPr>
          <w:rFonts w:ascii="Times New Roman" w:hAnsi="Times New Roman" w:cs="Times New Roman"/>
          <w:sz w:val="24"/>
          <w:szCs w:val="24"/>
        </w:rPr>
        <w:t xml:space="preserve"> maitinimas skirtas 135 (47</w:t>
      </w:r>
      <w:proofErr w:type="gramStart"/>
      <w:r w:rsidR="00375BC6" w:rsidRPr="006B2C9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375BC6" w:rsidRPr="006B2C96">
        <w:rPr>
          <w:rFonts w:ascii="Times New Roman" w:hAnsi="Times New Roman" w:cs="Times New Roman"/>
          <w:sz w:val="24"/>
          <w:szCs w:val="24"/>
        </w:rPr>
        <w:t xml:space="preserve"> proc.) mokiniams.  Pagal pritaikytas programas gimnazijoje mokosi 21 (7</w:t>
      </w:r>
      <w:proofErr w:type="gramStart"/>
      <w:r w:rsidR="00375BC6" w:rsidRPr="006B2C96">
        <w:rPr>
          <w:rFonts w:ascii="Times New Roman" w:hAnsi="Times New Roman" w:cs="Times New Roman"/>
          <w:sz w:val="24"/>
          <w:szCs w:val="24"/>
        </w:rPr>
        <w:t>,39</w:t>
      </w:r>
      <w:proofErr w:type="gramEnd"/>
      <w:r w:rsidR="00375BC6" w:rsidRPr="006B2C96">
        <w:rPr>
          <w:rFonts w:ascii="Times New Roman" w:hAnsi="Times New Roman" w:cs="Times New Roman"/>
          <w:sz w:val="24"/>
          <w:szCs w:val="24"/>
        </w:rPr>
        <w:t xml:space="preserve"> proc.) mok</w:t>
      </w:r>
      <w:r w:rsidR="00840DC7">
        <w:rPr>
          <w:rFonts w:ascii="Times New Roman" w:hAnsi="Times New Roman" w:cs="Times New Roman"/>
          <w:sz w:val="24"/>
          <w:szCs w:val="24"/>
        </w:rPr>
        <w:t xml:space="preserve">inys, </w:t>
      </w:r>
      <w:r w:rsidR="00656C62">
        <w:rPr>
          <w:rFonts w:ascii="Times New Roman" w:hAnsi="Times New Roman" w:cs="Times New Roman"/>
          <w:sz w:val="24"/>
          <w:szCs w:val="24"/>
        </w:rPr>
        <w:t>p</w:t>
      </w:r>
      <w:r w:rsidR="00840DC7">
        <w:rPr>
          <w:rFonts w:ascii="Times New Roman" w:hAnsi="Times New Roman" w:cs="Times New Roman"/>
          <w:sz w:val="24"/>
          <w:szCs w:val="24"/>
        </w:rPr>
        <w:t xml:space="preserve">agal </w:t>
      </w:r>
      <w:r w:rsidR="00656C62">
        <w:rPr>
          <w:rFonts w:ascii="Times New Roman" w:hAnsi="Times New Roman" w:cs="Times New Roman"/>
          <w:sz w:val="24"/>
          <w:szCs w:val="24"/>
        </w:rPr>
        <w:t xml:space="preserve">individualizuotas programas – 3 mokiniai.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41 proc. gimnazijos mokinių yra pavežami mokykliniu (61 mokinys) ar maršrutiniais (57 mokiniai) autobusais.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66F">
        <w:rPr>
          <w:rFonts w:ascii="Times New Roman" w:hAnsi="Times New Roman" w:cs="Times New Roman"/>
          <w:sz w:val="24"/>
          <w:szCs w:val="24"/>
        </w:rPr>
        <w:t>G</w:t>
      </w:r>
      <w:r w:rsidR="00D955A0">
        <w:rPr>
          <w:rFonts w:ascii="Times New Roman" w:hAnsi="Times New Roman" w:cs="Times New Roman"/>
          <w:sz w:val="24"/>
          <w:szCs w:val="24"/>
        </w:rPr>
        <w:t>imnazijoje</w:t>
      </w:r>
      <w:r w:rsidR="00840DC7">
        <w:rPr>
          <w:rFonts w:ascii="Times New Roman" w:hAnsi="Times New Roman" w:cs="Times New Roman"/>
          <w:sz w:val="24"/>
          <w:szCs w:val="24"/>
        </w:rPr>
        <w:t xml:space="preserve"> </w:t>
      </w:r>
      <w:r w:rsidR="00656C62">
        <w:rPr>
          <w:rFonts w:ascii="Times New Roman" w:hAnsi="Times New Roman" w:cs="Times New Roman"/>
          <w:sz w:val="24"/>
          <w:szCs w:val="24"/>
        </w:rPr>
        <w:t>2014–2015 m. m.</w:t>
      </w:r>
      <w:r w:rsidR="00375BC6">
        <w:rPr>
          <w:rFonts w:ascii="Times New Roman" w:hAnsi="Times New Roman" w:cs="Times New Roman"/>
          <w:sz w:val="24"/>
          <w:szCs w:val="24"/>
        </w:rPr>
        <w:t xml:space="preserve"> dirbo 35 pedagoginiai darbuotojai (2</w:t>
      </w:r>
      <w:r w:rsidR="00656C62">
        <w:rPr>
          <w:rFonts w:ascii="Times New Roman" w:hAnsi="Times New Roman" w:cs="Times New Roman"/>
          <w:sz w:val="24"/>
          <w:szCs w:val="24"/>
        </w:rPr>
        <w:t xml:space="preserve"> –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antraeilėse pareigose), </w:t>
      </w:r>
      <w:r w:rsidR="00656C62">
        <w:rPr>
          <w:rFonts w:ascii="Times New Roman" w:hAnsi="Times New Roman" w:cs="Times New Roman"/>
          <w:sz w:val="24"/>
          <w:szCs w:val="24"/>
        </w:rPr>
        <w:t xml:space="preserve">iš jų 10 metodininkų, 21 vyresniųjų mokytojų, </w:t>
      </w:r>
      <w:r w:rsidR="00375BC6">
        <w:rPr>
          <w:rFonts w:ascii="Times New Roman" w:hAnsi="Times New Roman" w:cs="Times New Roman"/>
          <w:sz w:val="24"/>
          <w:szCs w:val="24"/>
        </w:rPr>
        <w:t>4</w:t>
      </w:r>
      <w:r w:rsidR="00656C62">
        <w:rPr>
          <w:rFonts w:ascii="Times New Roman" w:hAnsi="Times New Roman" w:cs="Times New Roman"/>
          <w:sz w:val="24"/>
          <w:szCs w:val="24"/>
        </w:rPr>
        <w:t xml:space="preserve"> – neįgiję kvalifikacinės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kate</w:t>
      </w:r>
      <w:r w:rsidR="00656C62">
        <w:rPr>
          <w:rFonts w:ascii="Times New Roman" w:hAnsi="Times New Roman" w:cs="Times New Roman"/>
          <w:sz w:val="24"/>
          <w:szCs w:val="24"/>
        </w:rPr>
        <w:t>gorijos.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Specialiąją pedagoginę, socialinę pedagoginę ir </w:t>
      </w:r>
      <w:r w:rsidR="00375BC6" w:rsidRPr="00932142">
        <w:rPr>
          <w:rFonts w:ascii="Times New Roman" w:hAnsi="Times New Roman" w:cs="Times New Roman"/>
          <w:sz w:val="24"/>
          <w:szCs w:val="24"/>
        </w:rPr>
        <w:t>special</w:t>
      </w:r>
      <w:r w:rsidR="00656C62">
        <w:rPr>
          <w:rFonts w:ascii="Times New Roman" w:hAnsi="Times New Roman" w:cs="Times New Roman"/>
          <w:sz w:val="24"/>
          <w:szCs w:val="24"/>
        </w:rPr>
        <w:t>iąją pagalbą teikė logopedė, socialinė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pedagogė, psichologė, specialioji pedagogė ir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dvi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mokytojo padėjėjos</w:t>
      </w:r>
      <w:r w:rsidR="00656C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55A0">
        <w:rPr>
          <w:rFonts w:ascii="Times New Roman" w:hAnsi="Times New Roman" w:cs="Times New Roman"/>
          <w:sz w:val="24"/>
          <w:szCs w:val="24"/>
        </w:rPr>
        <w:t xml:space="preserve">Gimnazijoje </w:t>
      </w:r>
      <w:r w:rsidR="00656C62">
        <w:rPr>
          <w:rFonts w:ascii="Times New Roman" w:hAnsi="Times New Roman" w:cs="Times New Roman"/>
          <w:sz w:val="24"/>
          <w:szCs w:val="24"/>
        </w:rPr>
        <w:t xml:space="preserve">yra </w:t>
      </w:r>
      <w:r w:rsidR="00375BC6" w:rsidRPr="00932142">
        <w:rPr>
          <w:rFonts w:ascii="Times New Roman" w:hAnsi="Times New Roman" w:cs="Times New Roman"/>
          <w:sz w:val="24"/>
          <w:szCs w:val="24"/>
        </w:rPr>
        <w:t>vertina</w:t>
      </w:r>
      <w:r w:rsidR="00656C62">
        <w:rPr>
          <w:rFonts w:ascii="Times New Roman" w:hAnsi="Times New Roman" w:cs="Times New Roman"/>
          <w:sz w:val="24"/>
          <w:szCs w:val="24"/>
        </w:rPr>
        <w:t xml:space="preserve">mos darbuotojų kompetencijos, skatinama </w:t>
      </w:r>
      <w:r w:rsidR="00375BC6" w:rsidRPr="00932142">
        <w:rPr>
          <w:rFonts w:ascii="Times New Roman" w:hAnsi="Times New Roman" w:cs="Times New Roman"/>
          <w:sz w:val="24"/>
          <w:szCs w:val="24"/>
        </w:rPr>
        <w:t>lydery</w:t>
      </w:r>
      <w:r w:rsidR="00656C62">
        <w:rPr>
          <w:rFonts w:ascii="Times New Roman" w:hAnsi="Times New Roman" w:cs="Times New Roman"/>
          <w:sz w:val="24"/>
          <w:szCs w:val="24"/>
        </w:rPr>
        <w:t>stė,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tenkinami tobulinimosi poreikiai.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 xml:space="preserve">Mokytojai sistemingai lankė seminarus, aktyviai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dalyvavo </w:t>
      </w:r>
      <w:r w:rsidR="00656C62">
        <w:rPr>
          <w:rFonts w:ascii="Times New Roman" w:hAnsi="Times New Roman" w:cs="Times New Roman"/>
          <w:sz w:val="24"/>
          <w:szCs w:val="24"/>
        </w:rPr>
        <w:t xml:space="preserve">rajono metodinių susivienijimų pasitarimuose, </w:t>
      </w:r>
      <w:r w:rsidR="00375BC6" w:rsidRPr="00932142">
        <w:rPr>
          <w:rFonts w:ascii="Times New Roman" w:hAnsi="Times New Roman" w:cs="Times New Roman"/>
          <w:sz w:val="24"/>
          <w:szCs w:val="24"/>
        </w:rPr>
        <w:t>konferenci</w:t>
      </w:r>
      <w:r w:rsidR="00656C62">
        <w:rPr>
          <w:rFonts w:ascii="Times New Roman" w:hAnsi="Times New Roman" w:cs="Times New Roman"/>
          <w:sz w:val="24"/>
          <w:szCs w:val="24"/>
        </w:rPr>
        <w:t xml:space="preserve">jose, seminaruose, atsakingai rengė mokinius </w:t>
      </w:r>
      <w:r w:rsidR="00375BC6" w:rsidRPr="00932142">
        <w:rPr>
          <w:rFonts w:ascii="Times New Roman" w:hAnsi="Times New Roman" w:cs="Times New Roman"/>
          <w:sz w:val="24"/>
          <w:szCs w:val="24"/>
        </w:rPr>
        <w:t>olimpiadoms, respublikiniams ir rajoniniams konkursams.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932142" w:rsidRDefault="00375BC6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2014–2015</w:t>
      </w:r>
      <w:r w:rsidRPr="00932142">
        <w:rPr>
          <w:rFonts w:ascii="Times New Roman" w:hAnsi="Times New Roman" w:cs="Times New Roman"/>
          <w:sz w:val="24"/>
          <w:szCs w:val="24"/>
        </w:rPr>
        <w:t xml:space="preserve"> m. m. mokykla kėlė šiuos ugdymo tikslus ir uždavinius: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>TIKSLAI:</w:t>
      </w:r>
    </w:p>
    <w:p w:rsidR="00375BC6" w:rsidRPr="00CA0587" w:rsidRDefault="00375BC6" w:rsidP="00A63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>Gerinant ugdymo ir mokymosi kokybę, didinti pagalbą mokiniui.</w:t>
      </w:r>
    </w:p>
    <w:p w:rsidR="00375BC6" w:rsidRPr="00CA0587" w:rsidRDefault="00375BC6" w:rsidP="00A63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>Ugdant bendruomen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ės narių gebė</w:t>
      </w:r>
      <w:r w:rsidR="00656C62">
        <w:rPr>
          <w:rFonts w:ascii="Times New Roman" w:hAnsi="Times New Roman" w:cs="Times New Roman"/>
          <w:sz w:val="24"/>
          <w:szCs w:val="24"/>
          <w:lang w:val="lt-LT"/>
        </w:rPr>
        <w:t xml:space="preserve">jimą bendradarbiauti, skatinti 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lyderystę.</w:t>
      </w:r>
    </w:p>
    <w:p w:rsidR="00375BC6" w:rsidRPr="00CA0587" w:rsidRDefault="00375BC6" w:rsidP="00A63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>Telkiant mokyklos bendruomenę bendrai veiklai, puoselėti mokyklos tradicijas.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>UŽDAVINIAI: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1.1.</w:t>
      </w:r>
      <w:r w:rsidR="005C066F">
        <w:rPr>
          <w:rFonts w:ascii="Times New Roman" w:hAnsi="Times New Roman" w:cs="Times New Roman"/>
          <w:sz w:val="24"/>
          <w:szCs w:val="24"/>
        </w:rPr>
        <w:t xml:space="preserve"> </w:t>
      </w:r>
      <w:r w:rsidRPr="00CA0587">
        <w:rPr>
          <w:rFonts w:ascii="Times New Roman" w:hAnsi="Times New Roman" w:cs="Times New Roman"/>
          <w:sz w:val="24"/>
          <w:szCs w:val="24"/>
        </w:rPr>
        <w:t>Sumažinti praleidžiam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ų be pateisinamos priežasties pamokų skaičių.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1.2.</w:t>
      </w:r>
      <w:r w:rsidR="005C066F">
        <w:rPr>
          <w:rFonts w:ascii="Times New Roman" w:hAnsi="Times New Roman" w:cs="Times New Roman"/>
          <w:sz w:val="24"/>
          <w:szCs w:val="24"/>
        </w:rPr>
        <w:t xml:space="preserve"> </w:t>
      </w:r>
      <w:r w:rsidRPr="00CA0587">
        <w:rPr>
          <w:rFonts w:ascii="Times New Roman" w:hAnsi="Times New Roman" w:cs="Times New Roman"/>
          <w:sz w:val="24"/>
          <w:szCs w:val="24"/>
        </w:rPr>
        <w:t>Didinti gabi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ų mokinių poreikių tenkinimo galimybes.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</w:t>
      </w:r>
      <w:r w:rsidR="005C066F">
        <w:rPr>
          <w:rFonts w:ascii="Times New Roman" w:hAnsi="Times New Roman" w:cs="Times New Roman"/>
          <w:sz w:val="24"/>
          <w:szCs w:val="24"/>
        </w:rPr>
        <w:t xml:space="preserve"> </w:t>
      </w:r>
      <w:r w:rsidRPr="00CA0587">
        <w:rPr>
          <w:rFonts w:ascii="Times New Roman" w:hAnsi="Times New Roman" w:cs="Times New Roman"/>
          <w:sz w:val="24"/>
          <w:szCs w:val="24"/>
        </w:rPr>
        <w:t>1.3. Tobulinti pagalbos mokiniui teikimą.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</w:t>
      </w:r>
      <w:r w:rsidR="005C066F">
        <w:rPr>
          <w:rFonts w:ascii="Times New Roman" w:hAnsi="Times New Roman" w:cs="Times New Roman"/>
          <w:sz w:val="24"/>
          <w:szCs w:val="24"/>
        </w:rPr>
        <w:t xml:space="preserve"> </w:t>
      </w:r>
      <w:r w:rsidRPr="00CA0587">
        <w:rPr>
          <w:rFonts w:ascii="Times New Roman" w:hAnsi="Times New Roman" w:cs="Times New Roman"/>
          <w:sz w:val="24"/>
          <w:szCs w:val="24"/>
        </w:rPr>
        <w:t>1.4.</w:t>
      </w:r>
      <w:r w:rsidR="005C066F">
        <w:rPr>
          <w:rFonts w:ascii="Times New Roman" w:hAnsi="Times New Roman" w:cs="Times New Roman"/>
          <w:sz w:val="24"/>
          <w:szCs w:val="24"/>
        </w:rPr>
        <w:t xml:space="preserve"> </w:t>
      </w:r>
      <w:r w:rsidRPr="00CA0587">
        <w:rPr>
          <w:rFonts w:ascii="Times New Roman" w:hAnsi="Times New Roman" w:cs="Times New Roman"/>
          <w:sz w:val="24"/>
          <w:szCs w:val="24"/>
        </w:rPr>
        <w:t>Efektyvinti projektin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ės veiklos organizavimą.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A0587">
        <w:rPr>
          <w:rFonts w:ascii="Times New Roman" w:hAnsi="Times New Roman" w:cs="Times New Roman"/>
          <w:sz w:val="24"/>
          <w:szCs w:val="24"/>
        </w:rPr>
        <w:t>2.1. Stiprinti Jiezno gimnazijos savivald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ų bendradarbiavimą.</w:t>
      </w:r>
      <w:proofErr w:type="gramEnd"/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A0587">
        <w:rPr>
          <w:rFonts w:ascii="Times New Roman" w:hAnsi="Times New Roman" w:cs="Times New Roman"/>
          <w:sz w:val="24"/>
          <w:szCs w:val="24"/>
        </w:rPr>
        <w:t>2.2. Pl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ėtoti Jiezno gimnazijos bendradarbiavimą su socialiniais partneriais.</w:t>
      </w:r>
      <w:proofErr w:type="gramEnd"/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2.3. Ugdyti saviveiksmingumą.</w:t>
      </w:r>
    </w:p>
    <w:p w:rsidR="00375BC6" w:rsidRPr="00CA0587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lastRenderedPageBreak/>
        <w:t xml:space="preserve">      3.1</w:t>
      </w:r>
      <w:proofErr w:type="gramStart"/>
      <w:r w:rsidRPr="00CA0587">
        <w:rPr>
          <w:rFonts w:ascii="Times New Roman" w:hAnsi="Times New Roman" w:cs="Times New Roman"/>
          <w:sz w:val="24"/>
          <w:szCs w:val="24"/>
        </w:rPr>
        <w:t>.Ugdyti</w:t>
      </w:r>
      <w:proofErr w:type="gramEnd"/>
      <w:r w:rsidRPr="00CA0587">
        <w:rPr>
          <w:rFonts w:ascii="Times New Roman" w:hAnsi="Times New Roman" w:cs="Times New Roman"/>
          <w:sz w:val="24"/>
          <w:szCs w:val="24"/>
        </w:rPr>
        <w:t xml:space="preserve"> bendruomen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ės pasididžiavimo mokykla jausmą.</w:t>
      </w:r>
    </w:p>
    <w:p w:rsidR="00375BC6" w:rsidRDefault="00375BC6" w:rsidP="00A632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A0587">
        <w:rPr>
          <w:rFonts w:ascii="Times New Roman" w:hAnsi="Times New Roman" w:cs="Times New Roman"/>
          <w:sz w:val="24"/>
          <w:szCs w:val="24"/>
        </w:rPr>
        <w:t xml:space="preserve">      3.2. Puosel</w:t>
      </w:r>
      <w:r w:rsidRPr="00CA0587">
        <w:rPr>
          <w:rFonts w:ascii="Times New Roman" w:hAnsi="Times New Roman" w:cs="Times New Roman"/>
          <w:sz w:val="24"/>
          <w:szCs w:val="24"/>
          <w:lang w:val="lt-LT"/>
        </w:rPr>
        <w:t>ėti mokyklos tradicijas.</w:t>
      </w:r>
    </w:p>
    <w:p w:rsidR="00587D2F" w:rsidRDefault="00587D2F" w:rsidP="005C0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0061">
        <w:rPr>
          <w:rFonts w:ascii="Times New Roman" w:hAnsi="Times New Roman" w:cs="Times New Roman"/>
          <w:sz w:val="24"/>
          <w:szCs w:val="24"/>
        </w:rPr>
        <w:t>Patobulinta lankomumo tvarkos aprašas.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Geriausiai lankanti klasė buvo skatinama saldžiu prizu</w:t>
      </w:r>
      <w:r w:rsidR="00840DC7">
        <w:rPr>
          <w:rFonts w:ascii="Times New Roman" w:hAnsi="Times New Roman" w:cs="Times New Roman"/>
          <w:sz w:val="24"/>
          <w:szCs w:val="24"/>
        </w:rPr>
        <w:t xml:space="preserve">.Su daug pamokų be priežasties </w:t>
      </w:r>
      <w:r>
        <w:rPr>
          <w:rFonts w:ascii="Times New Roman" w:hAnsi="Times New Roman" w:cs="Times New Roman"/>
          <w:sz w:val="24"/>
          <w:szCs w:val="24"/>
        </w:rPr>
        <w:t>praleidžiančiais mokiniais buv</w:t>
      </w:r>
      <w:r w:rsidR="009A796B">
        <w:rPr>
          <w:rFonts w:ascii="Times New Roman" w:hAnsi="Times New Roman" w:cs="Times New Roman"/>
          <w:sz w:val="24"/>
          <w:szCs w:val="24"/>
        </w:rPr>
        <w:t>o vedami individualūs poklabiai</w:t>
      </w:r>
      <w:r>
        <w:rPr>
          <w:rFonts w:ascii="Times New Roman" w:hAnsi="Times New Roman" w:cs="Times New Roman"/>
          <w:sz w:val="24"/>
          <w:szCs w:val="24"/>
        </w:rPr>
        <w:t>, kalbėta su tėvais, svarstyta VGK.</w:t>
      </w:r>
    </w:p>
    <w:p w:rsidR="00587D2F" w:rsidRPr="00CA0587" w:rsidRDefault="00587D2F" w:rsidP="00587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Tėvų komiteto nariai aktyviai dalyvavo spręndžiant įvairias problemas savo klasių susirinkimuose, buvo pagalbininkai klasių auklėtojams.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Ypač aktyvūs tėvai 5, 6, 7, 3g klasėse.</w:t>
      </w:r>
      <w:proofErr w:type="gramEnd"/>
    </w:p>
    <w:p w:rsidR="0008053F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C6">
        <w:rPr>
          <w:rFonts w:ascii="Times New Roman" w:hAnsi="Times New Roman" w:cs="Times New Roman"/>
          <w:sz w:val="24"/>
          <w:szCs w:val="24"/>
        </w:rPr>
        <w:t>2014–2015</w:t>
      </w:r>
      <w:r w:rsidR="00656C62">
        <w:rPr>
          <w:rFonts w:ascii="Times New Roman" w:hAnsi="Times New Roman" w:cs="Times New Roman"/>
          <w:sz w:val="24"/>
          <w:szCs w:val="24"/>
        </w:rPr>
        <w:t xml:space="preserve"> m. m. pagrindinį</w:t>
      </w:r>
      <w:r w:rsidR="00587D2F">
        <w:rPr>
          <w:rFonts w:ascii="Times New Roman" w:hAnsi="Times New Roman" w:cs="Times New Roman"/>
          <w:sz w:val="24"/>
          <w:szCs w:val="24"/>
        </w:rPr>
        <w:t xml:space="preserve"> dėmesį </w:t>
      </w:r>
      <w:r w:rsidR="00656C62">
        <w:rPr>
          <w:rFonts w:ascii="Times New Roman" w:hAnsi="Times New Roman" w:cs="Times New Roman"/>
          <w:sz w:val="24"/>
          <w:szCs w:val="24"/>
        </w:rPr>
        <w:t xml:space="preserve">skyrėme mokinio galių pažinimui, teigiamo savęs vertinimo, asmenybės tobulėjimo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n</w:t>
      </w:r>
      <w:r w:rsidR="00656C62">
        <w:rPr>
          <w:rFonts w:ascii="Times New Roman" w:hAnsi="Times New Roman" w:cs="Times New Roman"/>
          <w:sz w:val="24"/>
          <w:szCs w:val="24"/>
        </w:rPr>
        <w:t>uostatų  formavimui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Gruodžio mėn.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mokytojų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tarybos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posėdyje „Savęs pažinimas.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Asmenybės lūkesčiai.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Pažangos matavimo praktika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“ kalbėta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apie asmens poreiki</w:t>
      </w:r>
      <w:r w:rsidR="005C066F">
        <w:rPr>
          <w:rFonts w:ascii="Times New Roman" w:hAnsi="Times New Roman" w:cs="Times New Roman"/>
          <w:sz w:val="24"/>
          <w:szCs w:val="24"/>
        </w:rPr>
        <w:t xml:space="preserve">us. </w:t>
      </w:r>
      <w:r w:rsidR="00656C62">
        <w:rPr>
          <w:rFonts w:ascii="Times New Roman" w:hAnsi="Times New Roman" w:cs="Times New Roman"/>
          <w:sz w:val="24"/>
          <w:szCs w:val="24"/>
        </w:rPr>
        <w:t xml:space="preserve">Buvo aptartos 5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klasės ir naujai atvykusių mokinių adaptacijos problemos,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mokymo(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>si) sunkumai.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Kovo mėn.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840DC7">
        <w:rPr>
          <w:rFonts w:ascii="Times New Roman" w:hAnsi="Times New Roman" w:cs="Times New Roman"/>
          <w:sz w:val="24"/>
          <w:szCs w:val="24"/>
        </w:rPr>
        <w:t xml:space="preserve">organizuota idėjų mugė: mokytojai dalijosi </w:t>
      </w:r>
      <w:r w:rsidR="00375BC6" w:rsidRPr="00932142">
        <w:rPr>
          <w:rFonts w:ascii="Times New Roman" w:hAnsi="Times New Roman" w:cs="Times New Roman"/>
          <w:sz w:val="24"/>
          <w:szCs w:val="24"/>
        </w:rPr>
        <w:t>geriausi</w:t>
      </w:r>
      <w:r w:rsidR="00840DC7">
        <w:rPr>
          <w:rFonts w:ascii="Times New Roman" w:hAnsi="Times New Roman" w:cs="Times New Roman"/>
          <w:sz w:val="24"/>
          <w:szCs w:val="24"/>
        </w:rPr>
        <w:t xml:space="preserve">omis ugdymo praktikomis, kryptingai </w:t>
      </w:r>
      <w:r w:rsidR="00375BC6" w:rsidRPr="00932142">
        <w:rPr>
          <w:rFonts w:ascii="Times New Roman" w:hAnsi="Times New Roman" w:cs="Times New Roman"/>
          <w:sz w:val="24"/>
          <w:szCs w:val="24"/>
        </w:rPr>
        <w:t>difer</w:t>
      </w:r>
      <w:r w:rsidR="00840DC7">
        <w:rPr>
          <w:rFonts w:ascii="Times New Roman" w:hAnsi="Times New Roman" w:cs="Times New Roman"/>
          <w:sz w:val="24"/>
          <w:szCs w:val="24"/>
        </w:rPr>
        <w:t xml:space="preserve">encijuojant </w:t>
      </w:r>
      <w:r w:rsidR="00656C62">
        <w:rPr>
          <w:rFonts w:ascii="Times New Roman" w:hAnsi="Times New Roman" w:cs="Times New Roman"/>
          <w:sz w:val="24"/>
          <w:szCs w:val="24"/>
        </w:rPr>
        <w:t xml:space="preserve">veiklą pamokoje, pavaduotoja ugdymui </w:t>
      </w:r>
      <w:r w:rsidR="00591E9A">
        <w:rPr>
          <w:rFonts w:ascii="Times New Roman" w:hAnsi="Times New Roman" w:cs="Times New Roman"/>
          <w:sz w:val="24"/>
          <w:szCs w:val="24"/>
        </w:rPr>
        <w:t>D. Bajorienė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apibendrino stebėtas pamokas, kuriose veiksmingai buvo suplanuota veikla, panaudoti tinkami individualizavimo ir diferencijavimo metodai.</w:t>
      </w:r>
    </w:p>
    <w:p w:rsidR="0008053F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Mokykl</w:t>
      </w:r>
      <w:r w:rsidR="00656C62">
        <w:rPr>
          <w:rFonts w:ascii="Times New Roman" w:hAnsi="Times New Roman" w:cs="Times New Roman"/>
          <w:sz w:val="24"/>
          <w:szCs w:val="24"/>
        </w:rPr>
        <w:t xml:space="preserve">oje aktyviai dirba metodinė taryba, vadovaujama pirmininkės </w:t>
      </w:r>
      <w:r w:rsidR="00375BC6">
        <w:rPr>
          <w:rFonts w:ascii="Times New Roman" w:hAnsi="Times New Roman" w:cs="Times New Roman"/>
          <w:sz w:val="24"/>
          <w:szCs w:val="24"/>
        </w:rPr>
        <w:t>B. Dičkuvienės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2014–2015</w:t>
      </w:r>
      <w:r w:rsidR="00656C62">
        <w:rPr>
          <w:rFonts w:ascii="Times New Roman" w:hAnsi="Times New Roman" w:cs="Times New Roman"/>
          <w:sz w:val="24"/>
          <w:szCs w:val="24"/>
        </w:rPr>
        <w:t xml:space="preserve"> mokslo metais įvyko </w:t>
      </w:r>
      <w:r w:rsidR="00375BC6">
        <w:rPr>
          <w:rFonts w:ascii="Times New Roman" w:hAnsi="Times New Roman" w:cs="Times New Roman"/>
          <w:sz w:val="24"/>
          <w:szCs w:val="24"/>
        </w:rPr>
        <w:t>septyni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pa</w:t>
      </w:r>
      <w:r w:rsidR="00656C62">
        <w:rPr>
          <w:rFonts w:ascii="Times New Roman" w:hAnsi="Times New Roman" w:cs="Times New Roman"/>
          <w:sz w:val="24"/>
          <w:szCs w:val="24"/>
        </w:rPr>
        <w:t>sitarimai.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Kartu su mokyklos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vadovais</w:t>
      </w:r>
      <w:r w:rsidR="00656C62">
        <w:rPr>
          <w:rFonts w:ascii="Times New Roman" w:hAnsi="Times New Roman" w:cs="Times New Roman"/>
          <w:sz w:val="24"/>
          <w:szCs w:val="24"/>
        </w:rPr>
        <w:t xml:space="preserve"> buvo ap</w:t>
      </w:r>
      <w:r w:rsidR="00840DC7">
        <w:rPr>
          <w:rFonts w:ascii="Times New Roman" w:hAnsi="Times New Roman" w:cs="Times New Roman"/>
          <w:sz w:val="24"/>
          <w:szCs w:val="24"/>
        </w:rPr>
        <w:t xml:space="preserve">tarti ir pasirinkti svarbiausi </w:t>
      </w:r>
      <w:r w:rsidR="00656C62">
        <w:rPr>
          <w:rFonts w:ascii="Times New Roman" w:hAnsi="Times New Roman" w:cs="Times New Roman"/>
          <w:sz w:val="24"/>
          <w:szCs w:val="24"/>
        </w:rPr>
        <w:t xml:space="preserve">metodinės </w:t>
      </w:r>
      <w:r w:rsidR="00375BC6" w:rsidRPr="00932142">
        <w:rPr>
          <w:rFonts w:ascii="Times New Roman" w:hAnsi="Times New Roman" w:cs="Times New Roman"/>
          <w:sz w:val="24"/>
          <w:szCs w:val="24"/>
        </w:rPr>
        <w:t>veiklos mokyk</w:t>
      </w:r>
      <w:r w:rsidR="00656C62">
        <w:rPr>
          <w:rFonts w:ascii="Times New Roman" w:hAnsi="Times New Roman" w:cs="Times New Roman"/>
          <w:sz w:val="24"/>
          <w:szCs w:val="24"/>
        </w:rPr>
        <w:t xml:space="preserve">loje aspektai: siekti geresnės ugdymo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kokybės, plėtojant </w:t>
      </w:r>
      <w:r w:rsidR="00656C62">
        <w:rPr>
          <w:rFonts w:ascii="Times New Roman" w:hAnsi="Times New Roman" w:cs="Times New Roman"/>
          <w:sz w:val="24"/>
          <w:szCs w:val="24"/>
        </w:rPr>
        <w:t>tarpda</w:t>
      </w:r>
      <w:r w:rsidR="00840DC7">
        <w:rPr>
          <w:rFonts w:ascii="Times New Roman" w:hAnsi="Times New Roman" w:cs="Times New Roman"/>
          <w:sz w:val="24"/>
          <w:szCs w:val="24"/>
        </w:rPr>
        <w:t xml:space="preserve">lykinę integraciją ir mokytojų </w:t>
      </w:r>
      <w:r w:rsidR="00656C62">
        <w:rPr>
          <w:rFonts w:ascii="Times New Roman" w:hAnsi="Times New Roman" w:cs="Times New Roman"/>
          <w:sz w:val="24"/>
          <w:szCs w:val="24"/>
        </w:rPr>
        <w:t xml:space="preserve">bendradarbiavimą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vedant  integruotas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pamokas.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Šiais metais jų buvo pravesta žymiai ma</w:t>
      </w:r>
      <w:r w:rsidR="00656C62">
        <w:rPr>
          <w:rFonts w:ascii="Times New Roman" w:hAnsi="Times New Roman" w:cs="Times New Roman"/>
          <w:sz w:val="24"/>
          <w:szCs w:val="24"/>
        </w:rPr>
        <w:t xml:space="preserve">žiau nei pernai, todėl nutarta </w:t>
      </w:r>
      <w:r w:rsidR="00375BC6" w:rsidRPr="00932142">
        <w:rPr>
          <w:rFonts w:ascii="Times New Roman" w:hAnsi="Times New Roman" w:cs="Times New Roman"/>
          <w:sz w:val="24"/>
          <w:szCs w:val="24"/>
        </w:rPr>
        <w:t>kasmet iki spalio 1 d. sudaryti integruotų pamokų grafiką.</w:t>
      </w:r>
      <w:proofErr w:type="gramEnd"/>
      <w:r w:rsidR="00A63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Metodinėje taryboje analizuota išorės vertinimo ataskaita</w:t>
      </w:r>
      <w:r w:rsidR="00840DC7">
        <w:rPr>
          <w:rFonts w:ascii="Times New Roman" w:hAnsi="Times New Roman" w:cs="Times New Roman"/>
          <w:sz w:val="24"/>
          <w:szCs w:val="24"/>
        </w:rPr>
        <w:t xml:space="preserve">, stipriosios ir tobulintinos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veiklos </w:t>
      </w:r>
      <w:r w:rsidR="00656C62">
        <w:rPr>
          <w:rFonts w:ascii="Times New Roman" w:hAnsi="Times New Roman" w:cs="Times New Roman"/>
          <w:sz w:val="24"/>
          <w:szCs w:val="24"/>
        </w:rPr>
        <w:t>sritys.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Išsiaiškinta, kokiais geriausiais</w:t>
      </w:r>
      <w:r w:rsidR="00840DC7">
        <w:rPr>
          <w:rFonts w:ascii="Times New Roman" w:hAnsi="Times New Roman" w:cs="Times New Roman"/>
          <w:sz w:val="24"/>
          <w:szCs w:val="24"/>
        </w:rPr>
        <w:t xml:space="preserve"> pamokos organizavimo</w:t>
      </w:r>
      <w:r w:rsidR="00656C62">
        <w:rPr>
          <w:rFonts w:ascii="Times New Roman" w:hAnsi="Times New Roman" w:cs="Times New Roman"/>
          <w:sz w:val="24"/>
          <w:szCs w:val="24"/>
        </w:rPr>
        <w:t xml:space="preserve"> metodais galėtų</w:t>
      </w:r>
      <w:r w:rsidR="00840DC7">
        <w:rPr>
          <w:rFonts w:ascii="Times New Roman" w:hAnsi="Times New Roman" w:cs="Times New Roman"/>
          <w:sz w:val="24"/>
          <w:szCs w:val="24"/>
        </w:rPr>
        <w:t xml:space="preserve"> pasidalinti </w:t>
      </w:r>
      <w:r w:rsidR="00375BC6" w:rsidRPr="00932142">
        <w:rPr>
          <w:rFonts w:ascii="Times New Roman" w:hAnsi="Times New Roman" w:cs="Times New Roman"/>
          <w:sz w:val="24"/>
          <w:szCs w:val="24"/>
        </w:rPr>
        <w:t>atskiri mokytojai.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Jie, rodydami atviras pamokas, padėtų kolegoms tobulinti profesines kompetencijas, sie</w:t>
      </w:r>
      <w:r w:rsidR="00656C62">
        <w:rPr>
          <w:rFonts w:ascii="Times New Roman" w:hAnsi="Times New Roman" w:cs="Times New Roman"/>
          <w:sz w:val="24"/>
          <w:szCs w:val="24"/>
        </w:rPr>
        <w:t>kti geresnės ugdymo kokybės.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Pamokas </w:t>
      </w:r>
      <w:r w:rsidR="00375BC6" w:rsidRPr="00932142">
        <w:rPr>
          <w:rFonts w:ascii="Times New Roman" w:hAnsi="Times New Roman" w:cs="Times New Roman"/>
          <w:sz w:val="24"/>
          <w:szCs w:val="24"/>
        </w:rPr>
        <w:t>k</w:t>
      </w:r>
      <w:r w:rsidR="00656C62">
        <w:rPr>
          <w:rFonts w:ascii="Times New Roman" w:hAnsi="Times New Roman" w:cs="Times New Roman"/>
          <w:sz w:val="24"/>
          <w:szCs w:val="24"/>
        </w:rPr>
        <w:t xml:space="preserve">olegoms šiais mokslo metais rodė ir patirtimi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dalinosi </w:t>
      </w:r>
      <w:r w:rsidR="00375BC6">
        <w:rPr>
          <w:rFonts w:ascii="Times New Roman" w:hAnsi="Times New Roman" w:cs="Times New Roman"/>
          <w:sz w:val="24"/>
          <w:szCs w:val="24"/>
        </w:rPr>
        <w:t>lietuvių k.</w:t>
      </w:r>
      <w:r w:rsidR="00656C62">
        <w:rPr>
          <w:rFonts w:ascii="Times New Roman" w:hAnsi="Times New Roman" w:cs="Times New Roman"/>
          <w:sz w:val="24"/>
          <w:szCs w:val="24"/>
        </w:rPr>
        <w:t xml:space="preserve"> mokytoja metodininkė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N. Kuliešienė</w:t>
      </w:r>
      <w:r w:rsidR="00656C62">
        <w:rPr>
          <w:rFonts w:ascii="Times New Roman" w:hAnsi="Times New Roman" w:cs="Times New Roman"/>
          <w:sz w:val="24"/>
          <w:szCs w:val="24"/>
        </w:rPr>
        <w:t xml:space="preserve">, </w:t>
      </w:r>
      <w:r w:rsidR="00375BC6">
        <w:rPr>
          <w:rFonts w:ascii="Times New Roman" w:hAnsi="Times New Roman" w:cs="Times New Roman"/>
          <w:sz w:val="24"/>
          <w:szCs w:val="24"/>
        </w:rPr>
        <w:t>fizikos mokytoja metodinink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,ė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V. Mekionytė, kūno kultūros mokytojas metodininkas S. Šimanskas, informacinių technologijų mokytoja metodininkė L. Arbačiauskienė, anglų k. mokytoja J. </w:t>
      </w:r>
      <w:r w:rsidR="005C066F">
        <w:rPr>
          <w:rFonts w:ascii="Times New Roman" w:hAnsi="Times New Roman" w:cs="Times New Roman"/>
          <w:sz w:val="24"/>
          <w:szCs w:val="24"/>
        </w:rPr>
        <w:t xml:space="preserve">Bartusevičienė, istorijos vyr. </w:t>
      </w:r>
      <w:proofErr w:type="gramStart"/>
      <w:r w:rsidR="005C066F">
        <w:rPr>
          <w:rFonts w:ascii="Times New Roman" w:hAnsi="Times New Roman" w:cs="Times New Roman"/>
          <w:sz w:val="24"/>
          <w:szCs w:val="24"/>
        </w:rPr>
        <w:t>m</w:t>
      </w:r>
      <w:r w:rsidR="00375BC6">
        <w:rPr>
          <w:rFonts w:ascii="Times New Roman" w:hAnsi="Times New Roman" w:cs="Times New Roman"/>
          <w:sz w:val="24"/>
          <w:szCs w:val="24"/>
        </w:rPr>
        <w:t>okytoja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N. Aleškevičienė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Pranešimus mokyklos ir rajono mokytojų meto</w:t>
      </w:r>
      <w:r w:rsidR="00840DC7">
        <w:rPr>
          <w:rFonts w:ascii="Times New Roman" w:hAnsi="Times New Roman" w:cs="Times New Roman"/>
          <w:sz w:val="24"/>
          <w:szCs w:val="24"/>
        </w:rPr>
        <w:t>dinėse</w:t>
      </w:r>
      <w:r w:rsidR="00587D2F">
        <w:rPr>
          <w:rFonts w:ascii="Times New Roman" w:hAnsi="Times New Roman" w:cs="Times New Roman"/>
          <w:sz w:val="24"/>
          <w:szCs w:val="24"/>
        </w:rPr>
        <w:t xml:space="preserve"> grupėse, </w:t>
      </w:r>
      <w:r w:rsidR="00840DC7">
        <w:rPr>
          <w:rFonts w:ascii="Times New Roman" w:hAnsi="Times New Roman" w:cs="Times New Roman"/>
          <w:sz w:val="24"/>
          <w:szCs w:val="24"/>
        </w:rPr>
        <w:t xml:space="preserve">seminaruose skaitė visos pradinių </w:t>
      </w:r>
      <w:r w:rsidR="00375BC6" w:rsidRPr="00932142">
        <w:rPr>
          <w:rFonts w:ascii="Times New Roman" w:hAnsi="Times New Roman" w:cs="Times New Roman"/>
          <w:sz w:val="24"/>
          <w:szCs w:val="24"/>
        </w:rPr>
        <w:t>klasių</w:t>
      </w:r>
      <w:r w:rsidR="00840DC7">
        <w:rPr>
          <w:rFonts w:ascii="Times New Roman" w:hAnsi="Times New Roman" w:cs="Times New Roman"/>
          <w:sz w:val="24"/>
          <w:szCs w:val="24"/>
        </w:rPr>
        <w:t xml:space="preserve"> mokytojos, </w:t>
      </w:r>
      <w:r w:rsidR="00656C62">
        <w:rPr>
          <w:rFonts w:ascii="Times New Roman" w:hAnsi="Times New Roman" w:cs="Times New Roman"/>
          <w:sz w:val="24"/>
          <w:szCs w:val="24"/>
        </w:rPr>
        <w:t>bibliotekininkė.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3F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C62">
        <w:rPr>
          <w:rFonts w:ascii="Times New Roman" w:hAnsi="Times New Roman" w:cs="Times New Roman"/>
          <w:sz w:val="24"/>
          <w:szCs w:val="24"/>
        </w:rPr>
        <w:t xml:space="preserve">Į rajono spaudą pranešimus apie vykusius renginius ir </w:t>
      </w:r>
      <w:r w:rsidR="00840DC7">
        <w:rPr>
          <w:rFonts w:ascii="Times New Roman" w:hAnsi="Times New Roman" w:cs="Times New Roman"/>
          <w:sz w:val="24"/>
          <w:szCs w:val="24"/>
        </w:rPr>
        <w:t>mokinių pasiekimus rašė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5C066F">
        <w:rPr>
          <w:rFonts w:ascii="Times New Roman" w:hAnsi="Times New Roman" w:cs="Times New Roman"/>
          <w:sz w:val="24"/>
          <w:szCs w:val="24"/>
        </w:rPr>
        <w:t>mokytojai N.</w:t>
      </w:r>
      <w:r w:rsidR="00375BC6">
        <w:rPr>
          <w:rFonts w:ascii="Times New Roman" w:hAnsi="Times New Roman" w:cs="Times New Roman"/>
          <w:sz w:val="24"/>
          <w:szCs w:val="24"/>
        </w:rPr>
        <w:t>Kuliešienė, R. Bubnienė, J. Bartusevičienė, R. Kandrotienė, A. Noriekienė, N. Aleškevičienė, J. Stačiokaitė, J. Jurkevičienė. I. Skulščienė, bibliotekininkė V. Rūdienė.</w:t>
      </w:r>
    </w:p>
    <w:p w:rsidR="00375BC6" w:rsidRPr="00932142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321E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Pradinio ugdymo metodinė grupė siekė gerinti mokymo planavimą ir organizavimą pamokoje,</w:t>
      </w:r>
      <w:r w:rsidR="00591E9A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efektyvinti</w:t>
      </w:r>
      <w:r w:rsidR="00840DC7">
        <w:rPr>
          <w:rFonts w:ascii="Times New Roman" w:hAnsi="Times New Roman" w:cs="Times New Roman"/>
          <w:sz w:val="24"/>
          <w:szCs w:val="24"/>
        </w:rPr>
        <w:t xml:space="preserve"> pasiekimų vertinimą,</w:t>
      </w:r>
      <w:r w:rsidR="00656C62">
        <w:rPr>
          <w:rFonts w:ascii="Times New Roman" w:hAnsi="Times New Roman" w:cs="Times New Roman"/>
          <w:sz w:val="24"/>
          <w:szCs w:val="24"/>
        </w:rPr>
        <w:t xml:space="preserve"> mokymo</w:t>
      </w:r>
      <w:r w:rsidR="00840DC7">
        <w:rPr>
          <w:rFonts w:ascii="Times New Roman" w:hAnsi="Times New Roman" w:cs="Times New Roman"/>
          <w:sz w:val="24"/>
          <w:szCs w:val="24"/>
        </w:rPr>
        <w:t xml:space="preserve"> metodų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taikymą,</w:t>
      </w:r>
      <w:r w:rsidR="00656C62">
        <w:rPr>
          <w:rFonts w:ascii="Times New Roman" w:hAnsi="Times New Roman" w:cs="Times New Roman"/>
          <w:sz w:val="24"/>
          <w:szCs w:val="24"/>
        </w:rPr>
        <w:t xml:space="preserve"> ugdė mokinių </w:t>
      </w:r>
      <w:r w:rsidR="00375BC6" w:rsidRPr="00932142">
        <w:rPr>
          <w:rFonts w:ascii="Times New Roman" w:hAnsi="Times New Roman" w:cs="Times New Roman"/>
          <w:sz w:val="24"/>
          <w:szCs w:val="24"/>
        </w:rPr>
        <w:t>bendravimo, ben</w:t>
      </w:r>
      <w:r w:rsidR="00656C62">
        <w:rPr>
          <w:rFonts w:ascii="Times New Roman" w:hAnsi="Times New Roman" w:cs="Times New Roman"/>
          <w:sz w:val="24"/>
          <w:szCs w:val="24"/>
        </w:rPr>
        <w:t>dradarbiavimo</w:t>
      </w:r>
      <w:r w:rsidR="00840DC7">
        <w:rPr>
          <w:rFonts w:ascii="Times New Roman" w:hAnsi="Times New Roman" w:cs="Times New Roman"/>
          <w:sz w:val="24"/>
          <w:szCs w:val="24"/>
        </w:rPr>
        <w:t xml:space="preserve">, savarankiškumo, kūrybiškumo </w:t>
      </w:r>
      <w:r w:rsidR="00656C62">
        <w:rPr>
          <w:rFonts w:ascii="Times New Roman" w:hAnsi="Times New Roman" w:cs="Times New Roman"/>
          <w:sz w:val="24"/>
          <w:szCs w:val="24"/>
        </w:rPr>
        <w:t>kompetencijas,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plėtojo </w:t>
      </w:r>
      <w:r w:rsidR="00656C62">
        <w:rPr>
          <w:rFonts w:ascii="Times New Roman" w:hAnsi="Times New Roman" w:cs="Times New Roman"/>
          <w:sz w:val="24"/>
          <w:szCs w:val="24"/>
        </w:rPr>
        <w:t xml:space="preserve">ir kūrė </w:t>
      </w:r>
      <w:r w:rsidR="00375BC6" w:rsidRPr="00932142">
        <w:rPr>
          <w:rFonts w:ascii="Times New Roman" w:hAnsi="Times New Roman" w:cs="Times New Roman"/>
          <w:sz w:val="24"/>
          <w:szCs w:val="24"/>
        </w:rPr>
        <w:t>naujas komu</w:t>
      </w:r>
      <w:r w:rsidR="00840DC7">
        <w:rPr>
          <w:rFonts w:ascii="Times New Roman" w:hAnsi="Times New Roman" w:cs="Times New Roman"/>
          <w:sz w:val="24"/>
          <w:szCs w:val="24"/>
        </w:rPr>
        <w:t xml:space="preserve">nikavimo ir </w:t>
      </w:r>
      <w:r w:rsidR="00656C62">
        <w:rPr>
          <w:rFonts w:ascii="Times New Roman" w:hAnsi="Times New Roman" w:cs="Times New Roman"/>
          <w:sz w:val="24"/>
          <w:szCs w:val="24"/>
        </w:rPr>
        <w:t xml:space="preserve">bendradarbiavimo </w:t>
      </w:r>
      <w:r w:rsidR="00587D2F">
        <w:rPr>
          <w:rFonts w:ascii="Times New Roman" w:hAnsi="Times New Roman" w:cs="Times New Roman"/>
          <w:sz w:val="24"/>
          <w:szCs w:val="24"/>
        </w:rPr>
        <w:lastRenderedPageBreak/>
        <w:t xml:space="preserve">formas </w:t>
      </w:r>
      <w:r w:rsidR="00840DC7">
        <w:rPr>
          <w:rFonts w:ascii="Times New Roman" w:hAnsi="Times New Roman" w:cs="Times New Roman"/>
          <w:sz w:val="24"/>
          <w:szCs w:val="24"/>
        </w:rPr>
        <w:t xml:space="preserve">su mokinių tėvais, skleidė gerąją patirtį mokykloje </w:t>
      </w:r>
      <w:r w:rsidR="00656C62">
        <w:rPr>
          <w:rFonts w:ascii="Times New Roman" w:hAnsi="Times New Roman" w:cs="Times New Roman"/>
          <w:sz w:val="24"/>
          <w:szCs w:val="24"/>
        </w:rPr>
        <w:t xml:space="preserve">ir rajone.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Mokytojos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R. Kandrotienė</w:t>
      </w:r>
      <w:r w:rsidR="00656C62">
        <w:rPr>
          <w:rFonts w:ascii="Times New Roman" w:hAnsi="Times New Roman" w:cs="Times New Roman"/>
          <w:sz w:val="24"/>
          <w:szCs w:val="24"/>
        </w:rPr>
        <w:t xml:space="preserve"> ir </w:t>
      </w:r>
      <w:r w:rsidR="005C066F">
        <w:rPr>
          <w:rFonts w:ascii="Times New Roman" w:hAnsi="Times New Roman" w:cs="Times New Roman"/>
          <w:sz w:val="24"/>
          <w:szCs w:val="24"/>
        </w:rPr>
        <w:t>A.</w:t>
      </w:r>
      <w:r w:rsidR="00375BC6">
        <w:rPr>
          <w:rFonts w:ascii="Times New Roman" w:hAnsi="Times New Roman" w:cs="Times New Roman"/>
          <w:sz w:val="24"/>
          <w:szCs w:val="24"/>
        </w:rPr>
        <w:t>Noreikienė</w:t>
      </w:r>
      <w:r w:rsidR="00656C62">
        <w:rPr>
          <w:rFonts w:ascii="Times New Roman" w:hAnsi="Times New Roman" w:cs="Times New Roman"/>
          <w:sz w:val="24"/>
          <w:szCs w:val="24"/>
        </w:rPr>
        <w:t xml:space="preserve"> su mokiniais </w:t>
      </w:r>
      <w:r w:rsidR="00587D2F">
        <w:rPr>
          <w:rFonts w:ascii="Times New Roman" w:hAnsi="Times New Roman" w:cs="Times New Roman"/>
          <w:sz w:val="24"/>
          <w:szCs w:val="24"/>
        </w:rPr>
        <w:t>dalyvavo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respublikinėje </w:t>
      </w:r>
      <w:r w:rsidR="00840DC7">
        <w:rPr>
          <w:rFonts w:ascii="Times New Roman" w:hAnsi="Times New Roman" w:cs="Times New Roman"/>
          <w:sz w:val="24"/>
          <w:szCs w:val="24"/>
        </w:rPr>
        <w:t>konferencijoje.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rganizuotas </w:t>
      </w:r>
      <w:r w:rsidR="00375BC6">
        <w:rPr>
          <w:rFonts w:ascii="Times New Roman" w:hAnsi="Times New Roman" w:cs="Times New Roman"/>
          <w:sz w:val="24"/>
          <w:szCs w:val="24"/>
        </w:rPr>
        <w:t>Prienų rajono</w:t>
      </w:r>
      <w:r w:rsidR="00840DC7">
        <w:rPr>
          <w:rFonts w:ascii="Times New Roman" w:hAnsi="Times New Roman" w:cs="Times New Roman"/>
          <w:sz w:val="24"/>
          <w:szCs w:val="24"/>
        </w:rPr>
        <w:t xml:space="preserve"> bendrojo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lavinimo mokyklų </w:t>
      </w:r>
      <w:r w:rsidR="00587D2F">
        <w:rPr>
          <w:rFonts w:ascii="Times New Roman" w:hAnsi="Times New Roman" w:cs="Times New Roman"/>
          <w:sz w:val="24"/>
          <w:szCs w:val="24"/>
        </w:rPr>
        <w:t xml:space="preserve">4 </w:t>
      </w:r>
      <w:r w:rsidR="00656C62">
        <w:rPr>
          <w:rFonts w:ascii="Times New Roman" w:hAnsi="Times New Roman" w:cs="Times New Roman"/>
          <w:sz w:val="24"/>
          <w:szCs w:val="24"/>
        </w:rPr>
        <w:t xml:space="preserve">klasių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mokinių  konkursas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žinių šventė.</w:t>
      </w:r>
      <w:r w:rsidR="00A6321E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 xml:space="preserve">5–8, 1g-4g </w:t>
      </w:r>
      <w:r w:rsidR="00375BC6" w:rsidRPr="00932142">
        <w:rPr>
          <w:rFonts w:ascii="Times New Roman" w:hAnsi="Times New Roman" w:cs="Times New Roman"/>
          <w:sz w:val="24"/>
          <w:szCs w:val="24"/>
        </w:rPr>
        <w:t>klasių vadovų metodinė grupė savo veiklą grindė klasės vadovo veiklo</w:t>
      </w:r>
      <w:r w:rsidR="00656C62">
        <w:rPr>
          <w:rFonts w:ascii="Times New Roman" w:hAnsi="Times New Roman" w:cs="Times New Roman"/>
          <w:sz w:val="24"/>
          <w:szCs w:val="24"/>
        </w:rPr>
        <w:t xml:space="preserve">s efektyvinimo, veiksmingesnių </w:t>
      </w:r>
      <w:r w:rsidR="00840DC7">
        <w:rPr>
          <w:rFonts w:ascii="Times New Roman" w:hAnsi="Times New Roman" w:cs="Times New Roman"/>
          <w:sz w:val="24"/>
          <w:szCs w:val="24"/>
        </w:rPr>
        <w:t xml:space="preserve">bendravimo formų su mokinių tėvais nuostatomis, organizavo </w:t>
      </w:r>
      <w:r w:rsidR="00375BC6" w:rsidRPr="00932142">
        <w:rPr>
          <w:rFonts w:ascii="Times New Roman" w:hAnsi="Times New Roman" w:cs="Times New Roman"/>
          <w:sz w:val="24"/>
          <w:szCs w:val="24"/>
        </w:rPr>
        <w:t>išvykas</w:t>
      </w:r>
      <w:r w:rsidR="00840DC7">
        <w:rPr>
          <w:rFonts w:ascii="Times New Roman" w:hAnsi="Times New Roman" w:cs="Times New Roman"/>
          <w:sz w:val="24"/>
          <w:szCs w:val="24"/>
        </w:rPr>
        <w:t xml:space="preserve">, </w:t>
      </w:r>
      <w:r w:rsidR="00375BC6" w:rsidRPr="00932142">
        <w:rPr>
          <w:rFonts w:ascii="Times New Roman" w:hAnsi="Times New Roman" w:cs="Times New Roman"/>
          <w:sz w:val="24"/>
          <w:szCs w:val="24"/>
        </w:rPr>
        <w:t>ekskursijas, temines popietes, ugdė auklėtinių sveikos gyvensenos įgūdžius.</w:t>
      </w:r>
    </w:p>
    <w:p w:rsidR="005C066F" w:rsidRDefault="00591E9A" w:rsidP="00591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0DC7">
        <w:rPr>
          <w:rFonts w:ascii="Times New Roman" w:hAnsi="Times New Roman" w:cs="Times New Roman"/>
          <w:sz w:val="24"/>
          <w:szCs w:val="24"/>
        </w:rPr>
        <w:t xml:space="preserve">Metodinės tarybos veikloje aktyviai dalyvauja mokyklos </w:t>
      </w:r>
      <w:r w:rsidR="00375BC6" w:rsidRPr="00932142">
        <w:rPr>
          <w:rFonts w:ascii="Times New Roman" w:hAnsi="Times New Roman" w:cs="Times New Roman"/>
          <w:sz w:val="24"/>
          <w:szCs w:val="24"/>
        </w:rPr>
        <w:t>bib</w:t>
      </w:r>
      <w:r w:rsidR="00587D2F">
        <w:rPr>
          <w:rFonts w:ascii="Times New Roman" w:hAnsi="Times New Roman" w:cs="Times New Roman"/>
          <w:sz w:val="24"/>
          <w:szCs w:val="24"/>
        </w:rPr>
        <w:t xml:space="preserve">liotekininkė </w:t>
      </w:r>
      <w:r w:rsidR="00375BC6">
        <w:rPr>
          <w:rFonts w:ascii="Times New Roman" w:hAnsi="Times New Roman" w:cs="Times New Roman"/>
          <w:sz w:val="24"/>
          <w:szCs w:val="24"/>
        </w:rPr>
        <w:t>V. Rūdinenė, soc. pedagogė D. Mazurionienė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591E9A" w:rsidRDefault="00375BC6" w:rsidP="005C06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142">
        <w:rPr>
          <w:rFonts w:ascii="Times New Roman" w:hAnsi="Times New Roman" w:cs="Times New Roman"/>
          <w:sz w:val="24"/>
          <w:szCs w:val="24"/>
        </w:rPr>
        <w:t>Bibliot</w:t>
      </w:r>
      <w:r w:rsidR="00587D2F">
        <w:rPr>
          <w:rFonts w:ascii="Times New Roman" w:hAnsi="Times New Roman" w:cs="Times New Roman"/>
          <w:sz w:val="24"/>
          <w:szCs w:val="24"/>
        </w:rPr>
        <w:t xml:space="preserve">eka, vykdydama savo veiklą, </w:t>
      </w:r>
      <w:r w:rsidRPr="00932142">
        <w:rPr>
          <w:rFonts w:ascii="Times New Roman" w:hAnsi="Times New Roman" w:cs="Times New Roman"/>
          <w:sz w:val="24"/>
          <w:szCs w:val="24"/>
        </w:rPr>
        <w:t>įgyvendindama iške</w:t>
      </w:r>
      <w:r w:rsidR="00840DC7">
        <w:rPr>
          <w:rFonts w:ascii="Times New Roman" w:hAnsi="Times New Roman" w:cs="Times New Roman"/>
          <w:sz w:val="24"/>
          <w:szCs w:val="24"/>
        </w:rPr>
        <w:t>ltus uždavinius, tenkino</w:t>
      </w:r>
      <w:r w:rsidRPr="00591E9A">
        <w:rPr>
          <w:rFonts w:ascii="Times New Roman" w:hAnsi="Times New Roman" w:cs="Times New Roman"/>
          <w:sz w:val="24"/>
          <w:szCs w:val="24"/>
        </w:rPr>
        <w:t xml:space="preserve"> mokyklos</w:t>
      </w:r>
      <w:r w:rsidR="009A796B">
        <w:rPr>
          <w:rFonts w:ascii="Times New Roman" w:hAnsi="Times New Roman" w:cs="Times New Roman"/>
          <w:sz w:val="24"/>
          <w:szCs w:val="24"/>
        </w:rPr>
        <w:t xml:space="preserve"> </w:t>
      </w:r>
      <w:r w:rsidRPr="00591E9A">
        <w:rPr>
          <w:rFonts w:ascii="Times New Roman" w:hAnsi="Times New Roman" w:cs="Times New Roman"/>
          <w:sz w:val="24"/>
          <w:szCs w:val="24"/>
        </w:rPr>
        <w:t>bendruomenės informacinius poreikius: kaupė, atnaujino biblio</w:t>
      </w:r>
      <w:r w:rsidR="00587D2F">
        <w:rPr>
          <w:rFonts w:ascii="Times New Roman" w:hAnsi="Times New Roman" w:cs="Times New Roman"/>
          <w:sz w:val="24"/>
          <w:szCs w:val="24"/>
        </w:rPr>
        <w:t>tekos dokumentų fondą, dirbdama su</w:t>
      </w:r>
      <w:r w:rsidR="005F7BBB">
        <w:rPr>
          <w:rFonts w:ascii="Times New Roman" w:hAnsi="Times New Roman" w:cs="Times New Roman"/>
          <w:sz w:val="24"/>
          <w:szCs w:val="24"/>
        </w:rPr>
        <w:t xml:space="preserve"> </w:t>
      </w:r>
      <w:r w:rsidRPr="00591E9A">
        <w:rPr>
          <w:rFonts w:ascii="Times New Roman" w:hAnsi="Times New Roman" w:cs="Times New Roman"/>
          <w:sz w:val="24"/>
          <w:szCs w:val="24"/>
        </w:rPr>
        <w:t>MOBIS elektroniniu katalogu, teikė edukacines ir informacines paslaugas, ugdė mokinių informacinį raštingumą, dalyvavo mokyklos ugdymo procese, stengėsi, kad būtų geros mokymosi ir darbo sąlygos lankytojams.</w:t>
      </w:r>
      <w:r w:rsidR="00A6321E" w:rsidRPr="0059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932142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 xml:space="preserve">Mokykloje įdiegta ir </w:t>
      </w:r>
      <w:r w:rsidR="00587D2F">
        <w:rPr>
          <w:rFonts w:ascii="Times New Roman" w:hAnsi="Times New Roman" w:cs="Times New Roman"/>
          <w:sz w:val="24"/>
          <w:szCs w:val="24"/>
        </w:rPr>
        <w:t xml:space="preserve">tobulinama </w:t>
      </w:r>
      <w:r w:rsidR="00656C62">
        <w:rPr>
          <w:rFonts w:ascii="Times New Roman" w:hAnsi="Times New Roman" w:cs="Times New Roman"/>
          <w:sz w:val="24"/>
          <w:szCs w:val="24"/>
        </w:rPr>
        <w:t>mokinių</w:t>
      </w:r>
      <w:r w:rsidR="00587D2F">
        <w:rPr>
          <w:rFonts w:ascii="Times New Roman" w:hAnsi="Times New Roman" w:cs="Times New Roman"/>
          <w:sz w:val="24"/>
          <w:szCs w:val="24"/>
        </w:rPr>
        <w:t xml:space="preserve"> konsultavimas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Konsultavimui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panaudojamos valandos iš </w:t>
      </w:r>
      <w:r w:rsidR="00375BC6">
        <w:rPr>
          <w:rFonts w:ascii="Times New Roman" w:hAnsi="Times New Roman" w:cs="Times New Roman"/>
          <w:sz w:val="24"/>
          <w:szCs w:val="24"/>
        </w:rPr>
        <w:t>papildomų valandų, skirstomų administracijos.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Konsultacines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mobilias grupes lanko norintys kompensuot</w:t>
      </w:r>
      <w:r w:rsidR="00656C62">
        <w:rPr>
          <w:rFonts w:ascii="Times New Roman" w:hAnsi="Times New Roman" w:cs="Times New Roman"/>
          <w:sz w:val="24"/>
          <w:szCs w:val="24"/>
        </w:rPr>
        <w:t>i žinių spragas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ir gabūs mokiniai, gilin</w:t>
      </w:r>
      <w:r w:rsidR="00587D2F">
        <w:rPr>
          <w:rFonts w:ascii="Times New Roman" w:hAnsi="Times New Roman" w:cs="Times New Roman"/>
          <w:sz w:val="24"/>
          <w:szCs w:val="24"/>
        </w:rPr>
        <w:t xml:space="preserve">antys </w:t>
      </w:r>
      <w:r w:rsidR="00656C62">
        <w:rPr>
          <w:rFonts w:ascii="Times New Roman" w:hAnsi="Times New Roman" w:cs="Times New Roman"/>
          <w:sz w:val="24"/>
          <w:szCs w:val="24"/>
        </w:rPr>
        <w:t>žinias bei gebėjimus.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C62">
        <w:rPr>
          <w:rFonts w:ascii="Times New Roman" w:hAnsi="Times New Roman" w:cs="Times New Roman"/>
          <w:sz w:val="24"/>
          <w:szCs w:val="24"/>
        </w:rPr>
        <w:t>Iš a</w:t>
      </w:r>
      <w:r w:rsidR="00587D2F">
        <w:rPr>
          <w:rFonts w:ascii="Times New Roman" w:hAnsi="Times New Roman" w:cs="Times New Roman"/>
          <w:sz w:val="24"/>
          <w:szCs w:val="24"/>
        </w:rPr>
        <w:t>nketinio</w:t>
      </w:r>
      <w:r w:rsidR="00656C62">
        <w:rPr>
          <w:rFonts w:ascii="Times New Roman" w:hAnsi="Times New Roman" w:cs="Times New Roman"/>
          <w:sz w:val="24"/>
          <w:szCs w:val="24"/>
        </w:rPr>
        <w:t xml:space="preserve"> tyrimo nustatyta, kad dauguma mokinių,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lankę konsultacijas, turėjo galimybę pagilinti turimas žinias, visiškai (arba iš dalies) </w:t>
      </w:r>
      <w:r w:rsidR="00656C62">
        <w:rPr>
          <w:rFonts w:ascii="Times New Roman" w:hAnsi="Times New Roman" w:cs="Times New Roman"/>
          <w:sz w:val="24"/>
          <w:szCs w:val="24"/>
        </w:rPr>
        <w:t>išsiaiškinti mokymosi spragas.</w:t>
      </w:r>
      <w:proofErr w:type="gramEnd"/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Mok</w:t>
      </w:r>
      <w:r w:rsidR="00656C62">
        <w:rPr>
          <w:rFonts w:ascii="Times New Roman" w:hAnsi="Times New Roman" w:cs="Times New Roman"/>
          <w:sz w:val="24"/>
          <w:szCs w:val="24"/>
        </w:rPr>
        <w:t xml:space="preserve">ykloje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reguliuojamas </w:t>
      </w:r>
      <w:r w:rsidR="00656C62">
        <w:rPr>
          <w:rFonts w:ascii="Times New Roman" w:hAnsi="Times New Roman" w:cs="Times New Roman"/>
          <w:sz w:val="24"/>
          <w:szCs w:val="24"/>
        </w:rPr>
        <w:t xml:space="preserve">mokymosi ir namų darbų </w:t>
      </w:r>
      <w:r w:rsidR="00375BC6" w:rsidRPr="00932142">
        <w:rPr>
          <w:rFonts w:ascii="Times New Roman" w:hAnsi="Times New Roman" w:cs="Times New Roman"/>
          <w:sz w:val="24"/>
          <w:szCs w:val="24"/>
        </w:rPr>
        <w:t>kr</w:t>
      </w:r>
      <w:r w:rsidR="00840DC7">
        <w:rPr>
          <w:rFonts w:ascii="Times New Roman" w:hAnsi="Times New Roman" w:cs="Times New Roman"/>
          <w:sz w:val="24"/>
          <w:szCs w:val="24"/>
        </w:rPr>
        <w:t>ūvis, sukurta</w:t>
      </w:r>
      <w:r w:rsidR="00587D2F">
        <w:rPr>
          <w:rFonts w:ascii="Times New Roman" w:hAnsi="Times New Roman" w:cs="Times New Roman"/>
          <w:sz w:val="24"/>
          <w:szCs w:val="24"/>
        </w:rPr>
        <w:t xml:space="preserve"> ir </w:t>
      </w:r>
      <w:r w:rsidR="00656C62">
        <w:rPr>
          <w:rFonts w:ascii="Times New Roman" w:hAnsi="Times New Roman" w:cs="Times New Roman"/>
          <w:sz w:val="24"/>
          <w:szCs w:val="24"/>
        </w:rPr>
        <w:t xml:space="preserve">tobulinama mokinių pažangos ir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840DC7">
        <w:rPr>
          <w:rFonts w:ascii="Times New Roman" w:hAnsi="Times New Roman" w:cs="Times New Roman"/>
          <w:sz w:val="24"/>
          <w:szCs w:val="24"/>
        </w:rPr>
        <w:t>vertinimo tvarka,</w:t>
      </w:r>
      <w:r w:rsidR="00656C62">
        <w:rPr>
          <w:rFonts w:ascii="Times New Roman" w:hAnsi="Times New Roman" w:cs="Times New Roman"/>
          <w:sz w:val="24"/>
          <w:szCs w:val="24"/>
        </w:rPr>
        <w:t xml:space="preserve"> siekiama,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jog vertinimas </w:t>
      </w:r>
      <w:r w:rsidR="00587D2F">
        <w:rPr>
          <w:rFonts w:ascii="Times New Roman" w:hAnsi="Times New Roman" w:cs="Times New Roman"/>
          <w:sz w:val="24"/>
          <w:szCs w:val="24"/>
        </w:rPr>
        <w:t xml:space="preserve">būtų objektyvus, </w:t>
      </w:r>
      <w:r w:rsidR="00375BC6" w:rsidRPr="00932142">
        <w:rPr>
          <w:rFonts w:ascii="Times New Roman" w:hAnsi="Times New Roman" w:cs="Times New Roman"/>
          <w:sz w:val="24"/>
          <w:szCs w:val="24"/>
        </w:rPr>
        <w:t>atiti</w:t>
      </w:r>
      <w:r w:rsidR="00587D2F">
        <w:rPr>
          <w:rFonts w:ascii="Times New Roman" w:hAnsi="Times New Roman" w:cs="Times New Roman"/>
          <w:sz w:val="24"/>
          <w:szCs w:val="24"/>
        </w:rPr>
        <w:t xml:space="preserve">nkantis individualius </w:t>
      </w:r>
      <w:r w:rsidR="00656C62">
        <w:rPr>
          <w:rFonts w:ascii="Times New Roman" w:hAnsi="Times New Roman" w:cs="Times New Roman"/>
          <w:sz w:val="24"/>
          <w:szCs w:val="24"/>
        </w:rPr>
        <w:t xml:space="preserve">mokinio gebėjimus. Tėvai laiku </w:t>
      </w:r>
      <w:r w:rsidR="00840DC7">
        <w:rPr>
          <w:rFonts w:ascii="Times New Roman" w:hAnsi="Times New Roman" w:cs="Times New Roman"/>
          <w:sz w:val="24"/>
          <w:szCs w:val="24"/>
        </w:rPr>
        <w:t>gauna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in</w:t>
      </w:r>
      <w:r w:rsidR="00656C62">
        <w:rPr>
          <w:rFonts w:ascii="Times New Roman" w:hAnsi="Times New Roman" w:cs="Times New Roman"/>
          <w:sz w:val="24"/>
          <w:szCs w:val="24"/>
        </w:rPr>
        <w:t xml:space="preserve">formaciją apie mokinio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ugdymo(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si) pasiekimus, efektyvinamos </w:t>
      </w:r>
      <w:r w:rsidR="00656C62">
        <w:rPr>
          <w:rFonts w:ascii="Times New Roman" w:hAnsi="Times New Roman" w:cs="Times New Roman"/>
          <w:sz w:val="24"/>
          <w:szCs w:val="24"/>
        </w:rPr>
        <w:t xml:space="preserve">informacijos pateikimo formos. </w:t>
      </w:r>
      <w:r w:rsidR="00375BC6" w:rsidRPr="00932142">
        <w:rPr>
          <w:rFonts w:ascii="Times New Roman" w:hAnsi="Times New Roman" w:cs="Times New Roman"/>
          <w:sz w:val="24"/>
          <w:szCs w:val="24"/>
        </w:rPr>
        <w:t>Nuo 2013 m. rugsėjo 1 d. mokykloje pradėta na</w:t>
      </w:r>
      <w:r w:rsidR="00375BC6">
        <w:rPr>
          <w:rFonts w:ascii="Times New Roman" w:hAnsi="Times New Roman" w:cs="Times New Roman"/>
          <w:sz w:val="24"/>
          <w:szCs w:val="24"/>
        </w:rPr>
        <w:t xml:space="preserve">udotis elektroniniu E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 xml:space="preserve">dienynu 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BC6" w:rsidRPr="00932142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m.</w:t>
      </w:r>
      <w:r w:rsidR="00656C62">
        <w:rPr>
          <w:rFonts w:ascii="Times New Roman" w:hAnsi="Times New Roman" w:cs="Times New Roman"/>
          <w:sz w:val="24"/>
          <w:szCs w:val="24"/>
        </w:rPr>
        <w:t xml:space="preserve"> vykusio </w:t>
      </w:r>
      <w:r w:rsidR="00587D2F">
        <w:rPr>
          <w:rFonts w:ascii="Times New Roman" w:hAnsi="Times New Roman" w:cs="Times New Roman"/>
          <w:sz w:val="24"/>
          <w:szCs w:val="24"/>
        </w:rPr>
        <w:t>išorės vertinimo išvadose tobulintinas mokyklos veiklos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as</w:t>
      </w:r>
      <w:r w:rsidR="00587D2F">
        <w:rPr>
          <w:rFonts w:ascii="Times New Roman" w:hAnsi="Times New Roman" w:cs="Times New Roman"/>
          <w:sz w:val="24"/>
          <w:szCs w:val="24"/>
        </w:rPr>
        <w:t xml:space="preserve">pektas </w:t>
      </w:r>
      <w:r w:rsidR="00375BC6" w:rsidRPr="00932142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2F">
        <w:rPr>
          <w:rFonts w:ascii="Times New Roman" w:hAnsi="Times New Roman" w:cs="Times New Roman"/>
          <w:sz w:val="24"/>
          <w:szCs w:val="24"/>
        </w:rPr>
        <w:t xml:space="preserve">mokymo ir mokymosi veiklos </w:t>
      </w:r>
      <w:r w:rsidR="00375BC6" w:rsidRPr="00932142">
        <w:rPr>
          <w:rFonts w:ascii="Times New Roman" w:hAnsi="Times New Roman" w:cs="Times New Roman"/>
          <w:sz w:val="24"/>
          <w:szCs w:val="24"/>
        </w:rPr>
        <w:t>diferencijavimas.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 xml:space="preserve">Dalyje stebėtų pamokų užduotys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diferencijuotos pagal ugdymo turinį, veiklas ir individualizuotos pagal mokymosi </w:t>
      </w:r>
      <w:r w:rsidR="005F7BBB">
        <w:rPr>
          <w:rFonts w:ascii="Times New Roman" w:hAnsi="Times New Roman" w:cs="Times New Roman"/>
          <w:sz w:val="24"/>
          <w:szCs w:val="24"/>
        </w:rPr>
        <w:t>poreikius, sugeb</w:t>
      </w:r>
      <w:r w:rsidR="00375BC6" w:rsidRPr="00932142">
        <w:rPr>
          <w:rFonts w:ascii="Times New Roman" w:hAnsi="Times New Roman" w:cs="Times New Roman"/>
          <w:sz w:val="24"/>
          <w:szCs w:val="24"/>
        </w:rPr>
        <w:t>ėjimus ir polinkius (sparčiau ir lėčiau dirbantiems, gabesniems ir atsiliekantiems, aktyviems ir stokojantiems inici</w:t>
      </w:r>
      <w:r w:rsidR="00840DC7">
        <w:rPr>
          <w:rFonts w:ascii="Times New Roman" w:hAnsi="Times New Roman" w:cs="Times New Roman"/>
          <w:sz w:val="24"/>
          <w:szCs w:val="24"/>
        </w:rPr>
        <w:t xml:space="preserve">atyvos, mokymosi </w:t>
      </w:r>
      <w:r w:rsidR="00587D2F">
        <w:rPr>
          <w:rFonts w:ascii="Times New Roman" w:hAnsi="Times New Roman" w:cs="Times New Roman"/>
          <w:sz w:val="24"/>
          <w:szCs w:val="24"/>
        </w:rPr>
        <w:t>motyvacijos),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parinkta</w:t>
      </w:r>
      <w:r w:rsidR="00587D2F">
        <w:rPr>
          <w:rFonts w:ascii="Times New Roman" w:hAnsi="Times New Roman" w:cs="Times New Roman"/>
          <w:sz w:val="24"/>
          <w:szCs w:val="24"/>
        </w:rPr>
        <w:t xml:space="preserve">s tinkamas mokymosi </w:t>
      </w:r>
      <w:r w:rsidR="00840DC7">
        <w:rPr>
          <w:rFonts w:ascii="Times New Roman" w:hAnsi="Times New Roman" w:cs="Times New Roman"/>
          <w:sz w:val="24"/>
          <w:szCs w:val="24"/>
        </w:rPr>
        <w:t>tempas.</w:t>
      </w:r>
      <w:proofErr w:type="gramEnd"/>
      <w:r w:rsidR="00840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DC7">
        <w:rPr>
          <w:rFonts w:ascii="Times New Roman" w:hAnsi="Times New Roman" w:cs="Times New Roman"/>
          <w:sz w:val="24"/>
          <w:szCs w:val="24"/>
        </w:rPr>
        <w:t>Taikomi</w:t>
      </w:r>
      <w:r w:rsidR="00656C62">
        <w:rPr>
          <w:rFonts w:ascii="Times New Roman" w:hAnsi="Times New Roman" w:cs="Times New Roman"/>
          <w:sz w:val="24"/>
          <w:szCs w:val="24"/>
        </w:rPr>
        <w:t xml:space="preserve"> </w:t>
      </w:r>
      <w:r w:rsidR="009A796B">
        <w:rPr>
          <w:rFonts w:ascii="Times New Roman" w:hAnsi="Times New Roman" w:cs="Times New Roman"/>
          <w:sz w:val="24"/>
          <w:szCs w:val="24"/>
        </w:rPr>
        <w:t>i</w:t>
      </w:r>
      <w:r w:rsidR="00656C62">
        <w:rPr>
          <w:rFonts w:ascii="Times New Roman" w:hAnsi="Times New Roman" w:cs="Times New Roman"/>
          <w:sz w:val="24"/>
          <w:szCs w:val="24"/>
        </w:rPr>
        <w:t xml:space="preserve">ndividualios ir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grupinės </w:t>
      </w:r>
      <w:r w:rsidR="00587D2F">
        <w:rPr>
          <w:rFonts w:ascii="Times New Roman" w:hAnsi="Times New Roman" w:cs="Times New Roman"/>
          <w:sz w:val="24"/>
          <w:szCs w:val="24"/>
        </w:rPr>
        <w:t xml:space="preserve">veiklos metodai, </w:t>
      </w:r>
      <w:r w:rsidR="00375BC6" w:rsidRPr="00932142">
        <w:rPr>
          <w:rFonts w:ascii="Times New Roman" w:hAnsi="Times New Roman" w:cs="Times New Roman"/>
          <w:sz w:val="24"/>
          <w:szCs w:val="24"/>
        </w:rPr>
        <w:t>mokinia</w:t>
      </w:r>
      <w:r w:rsidR="00587D2F">
        <w:rPr>
          <w:rFonts w:ascii="Times New Roman" w:hAnsi="Times New Roman" w:cs="Times New Roman"/>
          <w:sz w:val="24"/>
          <w:szCs w:val="24"/>
        </w:rPr>
        <w:t xml:space="preserve">i </w:t>
      </w:r>
      <w:r w:rsidR="00656C62">
        <w:rPr>
          <w:rFonts w:ascii="Times New Roman" w:hAnsi="Times New Roman" w:cs="Times New Roman"/>
          <w:sz w:val="24"/>
          <w:szCs w:val="24"/>
        </w:rPr>
        <w:t xml:space="preserve">skirstomi į pastovias ir </w:t>
      </w:r>
      <w:r w:rsidR="00587D2F">
        <w:rPr>
          <w:rFonts w:ascii="Times New Roman" w:hAnsi="Times New Roman" w:cs="Times New Roman"/>
          <w:sz w:val="24"/>
          <w:szCs w:val="24"/>
        </w:rPr>
        <w:t xml:space="preserve">mobilias grupes pagal </w:t>
      </w:r>
      <w:r w:rsidR="00375BC6" w:rsidRPr="00932142">
        <w:rPr>
          <w:rFonts w:ascii="Times New Roman" w:hAnsi="Times New Roman" w:cs="Times New Roman"/>
          <w:sz w:val="24"/>
          <w:szCs w:val="24"/>
        </w:rPr>
        <w:t>vienodu</w:t>
      </w:r>
      <w:r w:rsidR="00587D2F">
        <w:rPr>
          <w:rFonts w:ascii="Times New Roman" w:hAnsi="Times New Roman" w:cs="Times New Roman"/>
          <w:sz w:val="24"/>
          <w:szCs w:val="24"/>
        </w:rPr>
        <w:t>s ar mišrius gebėjimus.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Mokymo ir </w:t>
      </w:r>
      <w:r w:rsidR="00656C62">
        <w:rPr>
          <w:rFonts w:ascii="Times New Roman" w:hAnsi="Times New Roman" w:cs="Times New Roman"/>
          <w:sz w:val="24"/>
          <w:szCs w:val="24"/>
        </w:rPr>
        <w:t xml:space="preserve">mokymosi </w:t>
      </w:r>
      <w:r w:rsidR="00587D2F">
        <w:rPr>
          <w:rFonts w:ascii="Times New Roman" w:hAnsi="Times New Roman" w:cs="Times New Roman"/>
          <w:sz w:val="24"/>
          <w:szCs w:val="24"/>
        </w:rPr>
        <w:t>poreikiai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nustatom</w:t>
      </w:r>
      <w:r w:rsidR="00587D2F">
        <w:rPr>
          <w:rFonts w:ascii="Times New Roman" w:hAnsi="Times New Roman" w:cs="Times New Roman"/>
          <w:sz w:val="24"/>
          <w:szCs w:val="24"/>
        </w:rPr>
        <w:t xml:space="preserve">i </w:t>
      </w:r>
      <w:r w:rsidR="00656C62">
        <w:rPr>
          <w:rFonts w:ascii="Times New Roman" w:hAnsi="Times New Roman" w:cs="Times New Roman"/>
          <w:sz w:val="24"/>
          <w:szCs w:val="24"/>
        </w:rPr>
        <w:t xml:space="preserve">neblogai, tačiau mokymosi </w:t>
      </w:r>
      <w:r w:rsidR="00375BC6" w:rsidRPr="00932142">
        <w:rPr>
          <w:rFonts w:ascii="Times New Roman" w:hAnsi="Times New Roman" w:cs="Times New Roman"/>
          <w:sz w:val="24"/>
          <w:szCs w:val="24"/>
        </w:rPr>
        <w:t>veiklos diferencijavimas pamokos</w:t>
      </w:r>
      <w:r w:rsidR="00656C62">
        <w:rPr>
          <w:rFonts w:ascii="Times New Roman" w:hAnsi="Times New Roman" w:cs="Times New Roman"/>
          <w:sz w:val="24"/>
          <w:szCs w:val="24"/>
        </w:rPr>
        <w:t xml:space="preserve">e yra patenkinamas, todėl jis </w:t>
      </w:r>
      <w:r w:rsidR="00375BC6" w:rsidRPr="00932142">
        <w:rPr>
          <w:rFonts w:ascii="Times New Roman" w:hAnsi="Times New Roman" w:cs="Times New Roman"/>
          <w:sz w:val="24"/>
          <w:szCs w:val="24"/>
        </w:rPr>
        <w:t>išlieka svarb</w:t>
      </w:r>
      <w:r w:rsidR="00840DC7">
        <w:rPr>
          <w:rFonts w:ascii="Times New Roman" w:hAnsi="Times New Roman" w:cs="Times New Roman"/>
          <w:sz w:val="24"/>
          <w:szCs w:val="24"/>
        </w:rPr>
        <w:t xml:space="preserve">iu veiklos plano uždaviniu </w:t>
      </w:r>
      <w:r w:rsidR="00375BC6">
        <w:rPr>
          <w:rFonts w:ascii="Times New Roman" w:hAnsi="Times New Roman" w:cs="Times New Roman"/>
          <w:sz w:val="24"/>
          <w:szCs w:val="24"/>
        </w:rPr>
        <w:t>2015</w:t>
      </w:r>
      <w:r w:rsidR="00375BC6" w:rsidRPr="00932142">
        <w:rPr>
          <w:rFonts w:ascii="Times New Roman" w:hAnsi="Times New Roman" w:cs="Times New Roman"/>
          <w:sz w:val="24"/>
          <w:szCs w:val="24"/>
        </w:rPr>
        <w:t>–</w:t>
      </w:r>
      <w:r w:rsidR="00375BC6">
        <w:rPr>
          <w:rFonts w:ascii="Times New Roman" w:hAnsi="Times New Roman" w:cs="Times New Roman"/>
          <w:sz w:val="24"/>
          <w:szCs w:val="24"/>
        </w:rPr>
        <w:t>2016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m. m.</w:t>
      </w:r>
      <w:r w:rsidR="005F7BBB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Efektyviau pritaikomas ugdymo turinys mokiniams, turintiems specialiųjų ugdymosi poreikių. </w:t>
      </w:r>
    </w:p>
    <w:p w:rsidR="0008053F" w:rsidRDefault="00A6321E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Pernai mokykloje buvo </w:t>
      </w:r>
      <w:r w:rsidR="00375BC6" w:rsidRPr="00434DA6">
        <w:rPr>
          <w:rFonts w:ascii="Times New Roman" w:hAnsi="Times New Roman" w:cs="Times New Roman"/>
          <w:sz w:val="24"/>
          <w:szCs w:val="24"/>
        </w:rPr>
        <w:t xml:space="preserve">ugdoma </w:t>
      </w:r>
      <w:r w:rsidR="00434DA6" w:rsidRPr="00434DA6">
        <w:rPr>
          <w:rFonts w:ascii="Times New Roman" w:hAnsi="Times New Roman" w:cs="Times New Roman"/>
          <w:sz w:val="24"/>
          <w:szCs w:val="24"/>
        </w:rPr>
        <w:t>27</w:t>
      </w:r>
      <w:r w:rsidR="00656C62">
        <w:rPr>
          <w:rFonts w:ascii="Times New Roman" w:hAnsi="Times New Roman" w:cs="Times New Roman"/>
          <w:sz w:val="24"/>
          <w:szCs w:val="24"/>
        </w:rPr>
        <w:t xml:space="preserve"> mokinių: 23 – </w:t>
      </w:r>
      <w:r w:rsidR="00375BC6" w:rsidRPr="00434DA6">
        <w:rPr>
          <w:rFonts w:ascii="Times New Roman" w:hAnsi="Times New Roman" w:cs="Times New Roman"/>
          <w:sz w:val="24"/>
          <w:szCs w:val="24"/>
        </w:rPr>
        <w:t>pagal prit</w:t>
      </w:r>
      <w:r w:rsidR="00656C62">
        <w:rPr>
          <w:rFonts w:ascii="Times New Roman" w:hAnsi="Times New Roman" w:cs="Times New Roman"/>
          <w:sz w:val="24"/>
          <w:szCs w:val="24"/>
        </w:rPr>
        <w:t xml:space="preserve">aikytas ugdymo programas, 4 – </w:t>
      </w:r>
      <w:r w:rsidR="00375BC6" w:rsidRPr="00434DA6">
        <w:rPr>
          <w:rFonts w:ascii="Times New Roman" w:hAnsi="Times New Roman" w:cs="Times New Roman"/>
          <w:sz w:val="24"/>
          <w:szCs w:val="24"/>
        </w:rPr>
        <w:t>pa</w:t>
      </w:r>
      <w:r w:rsidR="00840DC7">
        <w:rPr>
          <w:rFonts w:ascii="Times New Roman" w:hAnsi="Times New Roman" w:cs="Times New Roman"/>
          <w:sz w:val="24"/>
          <w:szCs w:val="24"/>
        </w:rPr>
        <w:t xml:space="preserve">gal individualizuotą programą. </w:t>
      </w:r>
      <w:proofErr w:type="gramStart"/>
      <w:r w:rsidR="00375BC6" w:rsidRPr="00434DA6">
        <w:rPr>
          <w:rFonts w:ascii="Times New Roman" w:hAnsi="Times New Roman" w:cs="Times New Roman"/>
          <w:sz w:val="24"/>
          <w:szCs w:val="24"/>
        </w:rPr>
        <w:t>Per mokslo metus pakartotini</w:t>
      </w:r>
      <w:r w:rsidR="00434DA6" w:rsidRPr="00434DA6">
        <w:rPr>
          <w:rFonts w:ascii="Times New Roman" w:hAnsi="Times New Roman" w:cs="Times New Roman"/>
          <w:sz w:val="24"/>
          <w:szCs w:val="24"/>
        </w:rPr>
        <w:t>am tyrimui į PPT buvo pasiųsti 8</w:t>
      </w:r>
      <w:r w:rsidR="00375BC6" w:rsidRPr="00434DA6">
        <w:rPr>
          <w:rFonts w:ascii="Times New Roman" w:hAnsi="Times New Roman" w:cs="Times New Roman"/>
          <w:sz w:val="24"/>
          <w:szCs w:val="24"/>
        </w:rPr>
        <w:t xml:space="preserve"> mokiniai, </w:t>
      </w:r>
      <w:r w:rsidR="00375BC6" w:rsidRPr="00434DA6">
        <w:rPr>
          <w:rFonts w:ascii="Times New Roman" w:hAnsi="Times New Roman" w:cs="Times New Roman"/>
          <w:sz w:val="24"/>
          <w:szCs w:val="24"/>
        </w:rPr>
        <w:lastRenderedPageBreak/>
        <w:t xml:space="preserve">pirminiam vertinimui </w:t>
      </w:r>
      <w:r w:rsidR="00434DA6" w:rsidRPr="00434DA6">
        <w:rPr>
          <w:rFonts w:ascii="Times New Roman" w:hAnsi="Times New Roman" w:cs="Times New Roman"/>
          <w:sz w:val="24"/>
          <w:szCs w:val="24"/>
        </w:rPr>
        <w:t>- 4 mokiniai.</w:t>
      </w:r>
      <w:proofErr w:type="gramEnd"/>
      <w:r w:rsidR="00434DA6" w:rsidRPr="00434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434DA6">
        <w:rPr>
          <w:rFonts w:ascii="Times New Roman" w:hAnsi="Times New Roman" w:cs="Times New Roman"/>
          <w:sz w:val="24"/>
          <w:szCs w:val="24"/>
        </w:rPr>
        <w:t>Dauguma mokytojų geba dirbti su mokiniais, turinčiais specialiųjų mokymosi poreikių, skatina juos dalyvauti įvairiose veiklose</w:t>
      </w:r>
      <w:r w:rsidR="00375BC6" w:rsidRPr="00932142">
        <w:rPr>
          <w:rFonts w:ascii="Times New Roman" w:hAnsi="Times New Roman" w:cs="Times New Roman"/>
          <w:sz w:val="24"/>
          <w:szCs w:val="24"/>
        </w:rPr>
        <w:t>, aptaria su tėvais ir vaiko gerovės komisijos nariais mokinių daromą pažangą, priima sprendimus, kaip tobulinti ugdymo turinį.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Šiems mokiniams švietimo pagalbą teikė specialioji pedagogė, logopedė,</w:t>
      </w:r>
      <w:r w:rsidR="002C5BFC">
        <w:rPr>
          <w:rFonts w:ascii="Times New Roman" w:hAnsi="Times New Roman" w:cs="Times New Roman"/>
          <w:sz w:val="24"/>
          <w:szCs w:val="24"/>
        </w:rPr>
        <w:t xml:space="preserve"> mokytojo padėjėja, psichologė, klasių </w:t>
      </w:r>
      <w:r w:rsidR="00375BC6" w:rsidRPr="00932142">
        <w:rPr>
          <w:rFonts w:ascii="Times New Roman" w:hAnsi="Times New Roman" w:cs="Times New Roman"/>
          <w:sz w:val="24"/>
          <w:szCs w:val="24"/>
        </w:rPr>
        <w:t>aukl</w:t>
      </w:r>
      <w:r w:rsidR="002C5BFC">
        <w:rPr>
          <w:rFonts w:ascii="Times New Roman" w:hAnsi="Times New Roman" w:cs="Times New Roman"/>
          <w:sz w:val="24"/>
          <w:szCs w:val="24"/>
        </w:rPr>
        <w:t>ėtojai.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Specialioji </w:t>
      </w:r>
      <w:r w:rsidR="00656C62">
        <w:rPr>
          <w:rFonts w:ascii="Times New Roman" w:hAnsi="Times New Roman" w:cs="Times New Roman"/>
          <w:sz w:val="24"/>
          <w:szCs w:val="24"/>
        </w:rPr>
        <w:t xml:space="preserve">pedagogė </w:t>
      </w:r>
      <w:r w:rsidR="00375BC6" w:rsidRPr="00932142">
        <w:rPr>
          <w:rFonts w:ascii="Times New Roman" w:hAnsi="Times New Roman" w:cs="Times New Roman"/>
          <w:sz w:val="24"/>
          <w:szCs w:val="24"/>
        </w:rPr>
        <w:t>la</w:t>
      </w:r>
      <w:r w:rsidR="002C5BFC">
        <w:rPr>
          <w:rFonts w:ascii="Times New Roman" w:hAnsi="Times New Roman" w:cs="Times New Roman"/>
          <w:sz w:val="24"/>
          <w:szCs w:val="24"/>
        </w:rPr>
        <w:t>pkričio-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gruodžio  mėnesį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vykdė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tyrimą „Mokytojo kompetencija ugdyti specialiųjų poreikių turinčius vaikus“, pateikė rekomendacijas.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Vaiko ge</w:t>
      </w:r>
      <w:r w:rsidR="00840DC7">
        <w:rPr>
          <w:rFonts w:ascii="Times New Roman" w:hAnsi="Times New Roman" w:cs="Times New Roman"/>
          <w:sz w:val="24"/>
          <w:szCs w:val="24"/>
        </w:rPr>
        <w:t xml:space="preserve">rovės </w:t>
      </w:r>
      <w:r w:rsidR="002C5BFC">
        <w:rPr>
          <w:rFonts w:ascii="Times New Roman" w:hAnsi="Times New Roman" w:cs="Times New Roman"/>
          <w:sz w:val="24"/>
          <w:szCs w:val="24"/>
        </w:rPr>
        <w:t xml:space="preserve">komisijos veikla ir specialiųjų </w:t>
      </w:r>
      <w:r w:rsidR="00375BC6" w:rsidRPr="00932142">
        <w:rPr>
          <w:rFonts w:ascii="Times New Roman" w:hAnsi="Times New Roman" w:cs="Times New Roman"/>
          <w:sz w:val="24"/>
          <w:szCs w:val="24"/>
        </w:rPr>
        <w:t>poreikių</w:t>
      </w:r>
      <w:r w:rsidR="002C5BFC">
        <w:rPr>
          <w:rFonts w:ascii="Times New Roman" w:hAnsi="Times New Roman" w:cs="Times New Roman"/>
          <w:sz w:val="24"/>
          <w:szCs w:val="24"/>
        </w:rPr>
        <w:t xml:space="preserve"> mokinių ugdymas, remiantis išorės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ve</w:t>
      </w:r>
      <w:r w:rsidR="00840DC7">
        <w:rPr>
          <w:rFonts w:ascii="Times New Roman" w:hAnsi="Times New Roman" w:cs="Times New Roman"/>
          <w:sz w:val="24"/>
          <w:szCs w:val="24"/>
        </w:rPr>
        <w:t xml:space="preserve">rtintojų išvadomis, </w:t>
      </w:r>
      <w:r w:rsidR="00587D2F">
        <w:rPr>
          <w:rFonts w:ascii="Times New Roman" w:hAnsi="Times New Roman" w:cs="Times New Roman"/>
          <w:sz w:val="24"/>
          <w:szCs w:val="24"/>
        </w:rPr>
        <w:t xml:space="preserve">mokykloje </w:t>
      </w:r>
      <w:r w:rsidR="00375BC6" w:rsidRPr="00932142">
        <w:rPr>
          <w:rFonts w:ascii="Times New Roman" w:hAnsi="Times New Roman" w:cs="Times New Roman"/>
          <w:sz w:val="24"/>
          <w:szCs w:val="24"/>
        </w:rPr>
        <w:t>vertinamas gerai, tačiau ir toliau išlieka svarbiu veiklos prioritetu, užtikrinant skirtingų gebėjimų mokinių pažangą.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3F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DC7">
        <w:rPr>
          <w:rFonts w:ascii="Times New Roman" w:hAnsi="Times New Roman" w:cs="Times New Roman"/>
          <w:sz w:val="24"/>
          <w:szCs w:val="24"/>
        </w:rPr>
        <w:t xml:space="preserve">Siekiant </w:t>
      </w:r>
      <w:r w:rsidR="00375BC6" w:rsidRPr="00932142">
        <w:rPr>
          <w:rFonts w:ascii="Times New Roman" w:hAnsi="Times New Roman" w:cs="Times New Roman"/>
          <w:sz w:val="24"/>
          <w:szCs w:val="24"/>
        </w:rPr>
        <w:t>tu</w:t>
      </w:r>
      <w:r w:rsidR="00587D2F">
        <w:rPr>
          <w:rFonts w:ascii="Times New Roman" w:hAnsi="Times New Roman" w:cs="Times New Roman"/>
          <w:sz w:val="24"/>
          <w:szCs w:val="24"/>
        </w:rPr>
        <w:t xml:space="preserve">rtinti </w:t>
      </w:r>
      <w:r w:rsidR="002C5BFC">
        <w:rPr>
          <w:rFonts w:ascii="Times New Roman" w:hAnsi="Times New Roman" w:cs="Times New Roman"/>
          <w:sz w:val="24"/>
          <w:szCs w:val="24"/>
        </w:rPr>
        <w:t xml:space="preserve">ugdymą, </w:t>
      </w:r>
      <w:r w:rsidR="00375BC6" w:rsidRPr="00932142">
        <w:rPr>
          <w:rFonts w:ascii="Times New Roman" w:hAnsi="Times New Roman" w:cs="Times New Roman"/>
          <w:sz w:val="24"/>
          <w:szCs w:val="24"/>
        </w:rPr>
        <w:t>priartina</w:t>
      </w:r>
      <w:r w:rsidR="00840DC7">
        <w:rPr>
          <w:rFonts w:ascii="Times New Roman" w:hAnsi="Times New Roman" w:cs="Times New Roman"/>
          <w:sz w:val="24"/>
          <w:szCs w:val="24"/>
        </w:rPr>
        <w:t xml:space="preserve">nt </w:t>
      </w:r>
      <w:r w:rsidR="002C5BFC">
        <w:rPr>
          <w:rFonts w:ascii="Times New Roman" w:hAnsi="Times New Roman" w:cs="Times New Roman"/>
          <w:sz w:val="24"/>
          <w:szCs w:val="24"/>
        </w:rPr>
        <w:t xml:space="preserve">jį prie realaus mokinių gyvenimo, ugdymo </w:t>
      </w:r>
      <w:r w:rsidR="00375BC6" w:rsidRPr="00932142">
        <w:rPr>
          <w:rFonts w:ascii="Times New Roman" w:hAnsi="Times New Roman" w:cs="Times New Roman"/>
          <w:sz w:val="24"/>
          <w:szCs w:val="24"/>
        </w:rPr>
        <w:t>pro</w:t>
      </w:r>
      <w:r w:rsidR="00587D2F">
        <w:rPr>
          <w:rFonts w:ascii="Times New Roman" w:hAnsi="Times New Roman" w:cs="Times New Roman"/>
          <w:sz w:val="24"/>
          <w:szCs w:val="24"/>
        </w:rPr>
        <w:t xml:space="preserve">cesas buvo organizuojamas ne tik mokykloje, bet </w:t>
      </w:r>
      <w:r w:rsidR="00375BC6" w:rsidRPr="00932142">
        <w:rPr>
          <w:rFonts w:ascii="Times New Roman" w:hAnsi="Times New Roman" w:cs="Times New Roman"/>
          <w:sz w:val="24"/>
          <w:szCs w:val="24"/>
        </w:rPr>
        <w:t>i</w:t>
      </w:r>
      <w:r w:rsidR="00587D2F">
        <w:rPr>
          <w:rFonts w:ascii="Times New Roman" w:hAnsi="Times New Roman" w:cs="Times New Roman"/>
          <w:sz w:val="24"/>
          <w:szCs w:val="24"/>
        </w:rPr>
        <w:t xml:space="preserve">r už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ribų (muziejuose, </w:t>
      </w:r>
      <w:r w:rsidR="00375BC6" w:rsidRPr="00932142">
        <w:rPr>
          <w:rFonts w:ascii="Times New Roman" w:hAnsi="Times New Roman" w:cs="Times New Roman"/>
          <w:sz w:val="24"/>
          <w:szCs w:val="24"/>
        </w:rPr>
        <w:t>bibliot</w:t>
      </w:r>
      <w:r w:rsidR="00587D2F">
        <w:rPr>
          <w:rFonts w:ascii="Times New Roman" w:hAnsi="Times New Roman" w:cs="Times New Roman"/>
          <w:sz w:val="24"/>
          <w:szCs w:val="24"/>
        </w:rPr>
        <w:t xml:space="preserve">ekose, artimiausioje mokyklai gamtinėje </w:t>
      </w:r>
      <w:r w:rsidR="00375BC6" w:rsidRPr="00932142">
        <w:rPr>
          <w:rFonts w:ascii="Times New Roman" w:hAnsi="Times New Roman" w:cs="Times New Roman"/>
          <w:sz w:val="24"/>
          <w:szCs w:val="24"/>
        </w:rPr>
        <w:t>a</w:t>
      </w:r>
      <w:r w:rsidR="00587D2F">
        <w:rPr>
          <w:rFonts w:ascii="Times New Roman" w:hAnsi="Times New Roman" w:cs="Times New Roman"/>
          <w:sz w:val="24"/>
          <w:szCs w:val="24"/>
        </w:rPr>
        <w:t xml:space="preserve">plinkoje ir kt.). </w:t>
      </w:r>
      <w:r w:rsidR="00375BC6">
        <w:rPr>
          <w:rFonts w:ascii="Times New Roman" w:hAnsi="Times New Roman" w:cs="Times New Roman"/>
          <w:sz w:val="24"/>
          <w:szCs w:val="24"/>
        </w:rPr>
        <w:t>Pradinio,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pagrindinio</w:t>
      </w:r>
      <w:r w:rsidR="00375BC6">
        <w:rPr>
          <w:rFonts w:ascii="Times New Roman" w:hAnsi="Times New Roman" w:cs="Times New Roman"/>
          <w:sz w:val="24"/>
          <w:szCs w:val="24"/>
        </w:rPr>
        <w:t xml:space="preserve"> ir vidurinio</w:t>
      </w:r>
      <w:r w:rsidR="00587D2F">
        <w:rPr>
          <w:rFonts w:ascii="Times New Roman" w:hAnsi="Times New Roman" w:cs="Times New Roman"/>
          <w:sz w:val="24"/>
          <w:szCs w:val="24"/>
        </w:rPr>
        <w:t xml:space="preserve"> ugdymo programai </w:t>
      </w:r>
      <w:r w:rsidR="00375BC6" w:rsidRPr="00932142">
        <w:rPr>
          <w:rFonts w:ascii="Times New Roman" w:hAnsi="Times New Roman" w:cs="Times New Roman"/>
          <w:sz w:val="24"/>
          <w:szCs w:val="24"/>
        </w:rPr>
        <w:t>įgyvendinti pasirinktos nepamokinės formos: edukacinės pamokos mokykloje ir išvykose, pro</w:t>
      </w:r>
      <w:r w:rsidR="00587D2F">
        <w:rPr>
          <w:rFonts w:ascii="Times New Roman" w:hAnsi="Times New Roman" w:cs="Times New Roman"/>
          <w:sz w:val="24"/>
          <w:szCs w:val="24"/>
        </w:rPr>
        <w:t xml:space="preserve">jektai, susitikimai, popietės, </w:t>
      </w:r>
      <w:r w:rsidR="00375BC6" w:rsidRPr="00932142">
        <w:rPr>
          <w:rFonts w:ascii="Times New Roman" w:hAnsi="Times New Roman" w:cs="Times New Roman"/>
          <w:sz w:val="24"/>
          <w:szCs w:val="24"/>
        </w:rPr>
        <w:t>šventės</w:t>
      </w:r>
      <w:r w:rsidR="00375BC6">
        <w:rPr>
          <w:rFonts w:ascii="Times New Roman" w:hAnsi="Times New Roman" w:cs="Times New Roman"/>
          <w:sz w:val="24"/>
          <w:szCs w:val="24"/>
        </w:rPr>
        <w:t>.</w:t>
      </w:r>
      <w:r w:rsidR="00A63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Dalis mokinių tėvų ir šeimos narių pasinaudojo galimybe dalyvauti vaikų ugdyme ir aktyviai įsijungė į </w:t>
      </w:r>
      <w:r w:rsidR="00587D2F">
        <w:rPr>
          <w:rFonts w:ascii="Times New Roman" w:hAnsi="Times New Roman" w:cs="Times New Roman"/>
          <w:sz w:val="24"/>
          <w:szCs w:val="24"/>
        </w:rPr>
        <w:t>šį ugdomąjį procesą.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3F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 xml:space="preserve">Tenkinant </w:t>
      </w:r>
      <w:r w:rsidR="002C5BFC">
        <w:rPr>
          <w:rFonts w:ascii="Times New Roman" w:hAnsi="Times New Roman" w:cs="Times New Roman"/>
          <w:sz w:val="24"/>
          <w:szCs w:val="24"/>
        </w:rPr>
        <w:t xml:space="preserve">mokinių kūrybinius, meninius </w:t>
      </w:r>
      <w:r w:rsidR="00375BC6" w:rsidRPr="00932142">
        <w:rPr>
          <w:rFonts w:ascii="Times New Roman" w:hAnsi="Times New Roman" w:cs="Times New Roman"/>
          <w:sz w:val="24"/>
          <w:szCs w:val="24"/>
        </w:rPr>
        <w:t>polinki</w:t>
      </w:r>
      <w:r w:rsidR="002C5BFC">
        <w:rPr>
          <w:rFonts w:ascii="Times New Roman" w:hAnsi="Times New Roman" w:cs="Times New Roman"/>
          <w:sz w:val="24"/>
          <w:szCs w:val="24"/>
        </w:rPr>
        <w:t xml:space="preserve">us puoselėjamos etnokultūros </w:t>
      </w:r>
      <w:r w:rsidR="00375BC6" w:rsidRPr="00932142">
        <w:rPr>
          <w:rFonts w:ascii="Times New Roman" w:hAnsi="Times New Roman" w:cs="Times New Roman"/>
          <w:sz w:val="24"/>
          <w:szCs w:val="24"/>
        </w:rPr>
        <w:t>tradicijos.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>Mokiniai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t</w:t>
      </w:r>
      <w:r w:rsidR="002C5BFC">
        <w:rPr>
          <w:rFonts w:ascii="Times New Roman" w:hAnsi="Times New Roman" w:cs="Times New Roman"/>
          <w:sz w:val="24"/>
          <w:szCs w:val="24"/>
        </w:rPr>
        <w:t xml:space="preserve">urėjo galimybę plėtoti </w:t>
      </w:r>
      <w:r w:rsidR="00587D2F">
        <w:rPr>
          <w:rFonts w:ascii="Times New Roman" w:hAnsi="Times New Roman" w:cs="Times New Roman"/>
          <w:sz w:val="24"/>
          <w:szCs w:val="24"/>
        </w:rPr>
        <w:t xml:space="preserve">savo </w:t>
      </w:r>
      <w:r w:rsidR="002C5BFC">
        <w:rPr>
          <w:rFonts w:ascii="Times New Roman" w:hAnsi="Times New Roman" w:cs="Times New Roman"/>
          <w:sz w:val="24"/>
          <w:szCs w:val="24"/>
        </w:rPr>
        <w:t>gabumus</w:t>
      </w:r>
      <w:r w:rsidR="00587D2F">
        <w:rPr>
          <w:rFonts w:ascii="Times New Roman" w:hAnsi="Times New Roman" w:cs="Times New Roman"/>
          <w:sz w:val="24"/>
          <w:szCs w:val="24"/>
        </w:rPr>
        <w:t xml:space="preserve"> ir </w:t>
      </w:r>
      <w:r w:rsidR="002C5BFC">
        <w:rPr>
          <w:rFonts w:ascii="Times New Roman" w:hAnsi="Times New Roman" w:cs="Times New Roman"/>
          <w:sz w:val="24"/>
          <w:szCs w:val="24"/>
        </w:rPr>
        <w:t xml:space="preserve">kitose </w:t>
      </w:r>
      <w:r w:rsidR="00840DC7">
        <w:rPr>
          <w:rFonts w:ascii="Times New Roman" w:hAnsi="Times New Roman" w:cs="Times New Roman"/>
          <w:sz w:val="24"/>
          <w:szCs w:val="24"/>
        </w:rPr>
        <w:t xml:space="preserve">neformaliojo </w:t>
      </w:r>
      <w:r w:rsidR="00375BC6" w:rsidRPr="00932142">
        <w:rPr>
          <w:rFonts w:ascii="Times New Roman" w:hAnsi="Times New Roman" w:cs="Times New Roman"/>
          <w:sz w:val="24"/>
          <w:szCs w:val="24"/>
        </w:rPr>
        <w:t>ugdymo grupėse: lavinti šokio, vokalo, meninės saviraiškos įgūdžius, lankyti sportinius užsiėmimus</w:t>
      </w:r>
      <w:r w:rsidR="00375BC6">
        <w:rPr>
          <w:rFonts w:ascii="Times New Roman" w:hAnsi="Times New Roman" w:cs="Times New Roman"/>
          <w:sz w:val="24"/>
          <w:szCs w:val="24"/>
        </w:rPr>
        <w:t>, keramikos, šaulių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Kalbėdamiesi su mokiniais ir jų tėvais išorės vertintojai išsiaiškino,</w:t>
      </w:r>
      <w:r w:rsidR="00587D2F">
        <w:rPr>
          <w:rFonts w:ascii="Times New Roman" w:hAnsi="Times New Roman" w:cs="Times New Roman"/>
          <w:sz w:val="24"/>
          <w:szCs w:val="24"/>
        </w:rPr>
        <w:t xml:space="preserve"> kad mokykloje pakanka įvairių mokyklos siūlomų </w:t>
      </w:r>
      <w:r w:rsidR="00375BC6" w:rsidRPr="00932142">
        <w:rPr>
          <w:rFonts w:ascii="Times New Roman" w:hAnsi="Times New Roman" w:cs="Times New Roman"/>
          <w:sz w:val="24"/>
          <w:szCs w:val="24"/>
        </w:rPr>
        <w:t>būreli</w:t>
      </w:r>
      <w:r w:rsidR="00587D2F">
        <w:rPr>
          <w:rFonts w:ascii="Times New Roman" w:hAnsi="Times New Roman" w:cs="Times New Roman"/>
          <w:sz w:val="24"/>
          <w:szCs w:val="24"/>
        </w:rPr>
        <w:t>ų.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Šį teiginį patvirtina ir išorės vertinimo </w:t>
      </w:r>
      <w:r w:rsidR="00375BC6" w:rsidRPr="00932142">
        <w:rPr>
          <w:rFonts w:ascii="Times New Roman" w:hAnsi="Times New Roman" w:cs="Times New Roman"/>
          <w:sz w:val="24"/>
          <w:szCs w:val="24"/>
        </w:rPr>
        <w:t>statis</w:t>
      </w:r>
      <w:r w:rsidR="00587D2F">
        <w:rPr>
          <w:rFonts w:ascii="Times New Roman" w:hAnsi="Times New Roman" w:cs="Times New Roman"/>
          <w:sz w:val="24"/>
          <w:szCs w:val="24"/>
        </w:rPr>
        <w:t>tinės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ataskaitos</w:t>
      </w:r>
      <w:r w:rsidR="00A6321E">
        <w:rPr>
          <w:rFonts w:ascii="Times New Roman" w:hAnsi="Times New Roman" w:cs="Times New Roman"/>
          <w:sz w:val="24"/>
          <w:szCs w:val="24"/>
        </w:rPr>
        <w:t xml:space="preserve"> </w:t>
      </w:r>
      <w:r w:rsidR="00587D2F">
        <w:rPr>
          <w:rFonts w:ascii="Times New Roman" w:hAnsi="Times New Roman" w:cs="Times New Roman"/>
          <w:sz w:val="24"/>
          <w:szCs w:val="24"/>
        </w:rPr>
        <w:t>duomenys: 62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proc.</w:t>
      </w:r>
      <w:r w:rsidR="009A796B">
        <w:rPr>
          <w:rFonts w:ascii="Times New Roman" w:hAnsi="Times New Roman" w:cs="Times New Roman"/>
          <w:sz w:val="24"/>
          <w:szCs w:val="24"/>
        </w:rPr>
        <w:t>t</w:t>
      </w:r>
      <w:r w:rsidR="00587D2F">
        <w:rPr>
          <w:rFonts w:ascii="Times New Roman" w:hAnsi="Times New Roman" w:cs="Times New Roman"/>
          <w:sz w:val="24"/>
          <w:szCs w:val="24"/>
        </w:rPr>
        <w:t xml:space="preserve"> ėvų teigia, kad jų ,,vaikas po  pamokų mokykloje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rand</w:t>
      </w:r>
      <w:r w:rsidR="00587D2F">
        <w:rPr>
          <w:rFonts w:ascii="Times New Roman" w:hAnsi="Times New Roman" w:cs="Times New Roman"/>
          <w:sz w:val="24"/>
          <w:szCs w:val="24"/>
        </w:rPr>
        <w:t xml:space="preserve">a užtektinai įdomios veiklos ir užsiėmimų“.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Nepasirinkusiems popamokinės veiklos mokykloje yra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galimybių neformaliojo</w:t>
      </w:r>
      <w:r w:rsidR="00375BC6">
        <w:rPr>
          <w:rFonts w:ascii="Times New Roman" w:hAnsi="Times New Roman" w:cs="Times New Roman"/>
          <w:sz w:val="24"/>
          <w:szCs w:val="24"/>
        </w:rPr>
        <w:t xml:space="preserve"> švietimo programas pasirinkti Jiezno m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uzikos </w:t>
      </w:r>
      <w:r w:rsidR="00375BC6">
        <w:rPr>
          <w:rFonts w:ascii="Times New Roman" w:hAnsi="Times New Roman" w:cs="Times New Roman"/>
          <w:sz w:val="24"/>
          <w:szCs w:val="24"/>
        </w:rPr>
        <w:t>mokykloje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Mokslo metų pabaigoje </w:t>
      </w:r>
      <w:r w:rsidR="00587D2F">
        <w:rPr>
          <w:rFonts w:ascii="Times New Roman" w:hAnsi="Times New Roman" w:cs="Times New Roman"/>
          <w:sz w:val="24"/>
          <w:szCs w:val="24"/>
        </w:rPr>
        <w:t xml:space="preserve">atlikta mokinių apklausa apie </w:t>
      </w:r>
      <w:r w:rsidR="002C5BFC">
        <w:rPr>
          <w:rFonts w:ascii="Times New Roman" w:hAnsi="Times New Roman" w:cs="Times New Roman"/>
          <w:sz w:val="24"/>
          <w:szCs w:val="24"/>
        </w:rPr>
        <w:t>neformaliojo ugdymo grupių veiklą.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r w:rsidR="00587D2F">
        <w:rPr>
          <w:rFonts w:ascii="Times New Roman" w:hAnsi="Times New Roman" w:cs="Times New Roman"/>
          <w:sz w:val="24"/>
          <w:szCs w:val="24"/>
        </w:rPr>
        <w:t xml:space="preserve">Atsižvelgiant į jos rezultatus galima </w:t>
      </w:r>
      <w:r w:rsidR="00375BC6" w:rsidRPr="00932142">
        <w:rPr>
          <w:rFonts w:ascii="Times New Roman" w:hAnsi="Times New Roman" w:cs="Times New Roman"/>
          <w:sz w:val="24"/>
          <w:szCs w:val="24"/>
        </w:rPr>
        <w:t>te</w:t>
      </w:r>
      <w:r w:rsidR="00587D2F">
        <w:rPr>
          <w:rFonts w:ascii="Times New Roman" w:hAnsi="Times New Roman" w:cs="Times New Roman"/>
          <w:sz w:val="24"/>
          <w:szCs w:val="24"/>
        </w:rPr>
        <w:t xml:space="preserve">igti, jog 52 proc. mokinių </w:t>
      </w:r>
      <w:r w:rsidR="00375BC6" w:rsidRPr="00932142">
        <w:rPr>
          <w:rFonts w:ascii="Times New Roman" w:hAnsi="Times New Roman" w:cs="Times New Roman"/>
          <w:sz w:val="24"/>
          <w:szCs w:val="24"/>
        </w:rPr>
        <w:t>patenkinti</w:t>
      </w:r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būrelių veikla, 77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proc. patinka mokykloje org</w:t>
      </w:r>
      <w:r w:rsidR="00587D2F">
        <w:rPr>
          <w:rFonts w:ascii="Times New Roman" w:hAnsi="Times New Roman" w:cs="Times New Roman"/>
          <w:sz w:val="24"/>
          <w:szCs w:val="24"/>
        </w:rPr>
        <w:t xml:space="preserve">anizuojami renginiai.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 xml:space="preserve">Mokinių kūrybiškumą, saviraišką padeda </w:t>
      </w:r>
      <w:r w:rsidR="00375BC6" w:rsidRPr="00932142">
        <w:rPr>
          <w:rFonts w:ascii="Times New Roman" w:hAnsi="Times New Roman" w:cs="Times New Roman"/>
          <w:sz w:val="24"/>
          <w:szCs w:val="24"/>
        </w:rPr>
        <w:t>a</w:t>
      </w:r>
      <w:r w:rsidR="00587D2F">
        <w:rPr>
          <w:rFonts w:ascii="Times New Roman" w:hAnsi="Times New Roman" w:cs="Times New Roman"/>
          <w:sz w:val="24"/>
          <w:szCs w:val="24"/>
        </w:rPr>
        <w:t>tskleisti mokinių savivalda.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Ją sudaro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mokinių taryba</w:t>
      </w:r>
      <w:r w:rsidR="00587D2F">
        <w:rPr>
          <w:rFonts w:ascii="Times New Roman" w:hAnsi="Times New Roman" w:cs="Times New Roman"/>
          <w:sz w:val="24"/>
          <w:szCs w:val="24"/>
        </w:rPr>
        <w:t xml:space="preserve"> ir seniūnų aktyvas.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 xml:space="preserve">Mokiniai </w:t>
      </w:r>
      <w:r w:rsidR="00375BC6" w:rsidRPr="00932142">
        <w:rPr>
          <w:rFonts w:ascii="Times New Roman" w:hAnsi="Times New Roman" w:cs="Times New Roman"/>
          <w:sz w:val="24"/>
          <w:szCs w:val="24"/>
        </w:rPr>
        <w:t>inicijuoja mokyklinius renginius, akcijas, svarsto nedrausmingų mokinių elgesį, teikia siūlymus ruošiant įvai</w:t>
      </w:r>
      <w:r w:rsidR="00587D2F">
        <w:rPr>
          <w:rFonts w:ascii="Times New Roman" w:hAnsi="Times New Roman" w:cs="Times New Roman"/>
          <w:sz w:val="24"/>
          <w:szCs w:val="24"/>
        </w:rPr>
        <w:t>rius tvarkos aprašus.</w:t>
      </w:r>
      <w:proofErr w:type="gramEnd"/>
      <w:r w:rsidR="00587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Default="0008053F" w:rsidP="00A632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7D2F">
        <w:rPr>
          <w:rFonts w:ascii="Times New Roman" w:hAnsi="Times New Roman" w:cs="Times New Roman"/>
          <w:sz w:val="24"/>
          <w:szCs w:val="24"/>
        </w:rPr>
        <w:t>Pozityvus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</w:t>
      </w:r>
      <w:r w:rsidR="00587D2F">
        <w:rPr>
          <w:rFonts w:ascii="Times New Roman" w:hAnsi="Times New Roman" w:cs="Times New Roman"/>
          <w:sz w:val="24"/>
          <w:szCs w:val="24"/>
        </w:rPr>
        <w:t xml:space="preserve">kytojų požiūris į rengiamus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konkursus, </w:t>
      </w:r>
      <w:r w:rsidR="00587D2F">
        <w:rPr>
          <w:rFonts w:ascii="Times New Roman" w:hAnsi="Times New Roman" w:cs="Times New Roman"/>
          <w:sz w:val="24"/>
          <w:szCs w:val="24"/>
        </w:rPr>
        <w:t>olimpiadas, varžybas, gabių mokinių skatinimas siekti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maksimalaus </w:t>
      </w:r>
      <w:r w:rsidR="00587D2F">
        <w:rPr>
          <w:rFonts w:ascii="Times New Roman" w:hAnsi="Times New Roman" w:cs="Times New Roman"/>
          <w:sz w:val="24"/>
          <w:szCs w:val="24"/>
        </w:rPr>
        <w:t xml:space="preserve">rezultato lemia aukštus mokyklos </w:t>
      </w:r>
      <w:r w:rsidR="00375BC6" w:rsidRPr="00932142">
        <w:rPr>
          <w:rFonts w:ascii="Times New Roman" w:hAnsi="Times New Roman" w:cs="Times New Roman"/>
          <w:sz w:val="24"/>
          <w:szCs w:val="24"/>
        </w:rPr>
        <w:t>pasiekimus.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M</w:t>
      </w:r>
      <w:r w:rsidR="00375BC6" w:rsidRPr="00932142">
        <w:rPr>
          <w:rFonts w:ascii="Times New Roman" w:hAnsi="Times New Roman" w:cs="Times New Roman"/>
          <w:sz w:val="24"/>
          <w:szCs w:val="24"/>
        </w:rPr>
        <w:t>okyklos pasiekimai gana ženklū</w:t>
      </w:r>
      <w:r w:rsidR="005F7BBB">
        <w:rPr>
          <w:rFonts w:ascii="Times New Roman" w:hAnsi="Times New Roman" w:cs="Times New Roman"/>
          <w:sz w:val="24"/>
          <w:szCs w:val="24"/>
        </w:rPr>
        <w:t>s</w:t>
      </w:r>
      <w:r w:rsidR="00375B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2014–2015</w:t>
      </w:r>
      <w:r w:rsidR="00587D2F">
        <w:rPr>
          <w:rFonts w:ascii="Times New Roman" w:hAnsi="Times New Roman" w:cs="Times New Roman"/>
          <w:sz w:val="24"/>
          <w:szCs w:val="24"/>
        </w:rPr>
        <w:t xml:space="preserve"> m. m. laimėta ne </w:t>
      </w:r>
      <w:r w:rsidR="00375BC6" w:rsidRPr="00932142">
        <w:rPr>
          <w:rFonts w:ascii="Times New Roman" w:hAnsi="Times New Roman" w:cs="Times New Roman"/>
          <w:sz w:val="24"/>
          <w:szCs w:val="24"/>
        </w:rPr>
        <w:t>viena</w:t>
      </w:r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prizinė vieta, gauta daug paskatinamųjų prizų ir padėkos raštų</w:t>
      </w:r>
      <w:r w:rsidR="00375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407" w:rsidRPr="009625ED" w:rsidRDefault="00ED5407" w:rsidP="009625ED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625E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Mokinių pasiekimai konkursuose, varžybose, olimpiadose, projektuose ir kt. per pastaruosius </w:t>
      </w:r>
      <w:r w:rsidR="0059569F" w:rsidRPr="009625ED">
        <w:rPr>
          <w:rFonts w:ascii="Times New Roman" w:eastAsia="Calibri" w:hAnsi="Times New Roman" w:cs="Times New Roman"/>
          <w:sz w:val="24"/>
          <w:szCs w:val="24"/>
          <w:lang w:val="lt-LT"/>
        </w:rPr>
        <w:t>trejus</w:t>
      </w:r>
      <w:r w:rsidRPr="009625ED">
        <w:rPr>
          <w:rFonts w:ascii="Times New Roman" w:eastAsia="Calibri" w:hAnsi="Times New Roman" w:cs="Times New Roman"/>
          <w:sz w:val="24"/>
          <w:szCs w:val="24"/>
          <w:lang w:val="lt-LT"/>
        </w:rPr>
        <w:t>s mokslo metus: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23"/>
        <w:gridCol w:w="2578"/>
        <w:gridCol w:w="2719"/>
        <w:gridCol w:w="2924"/>
      </w:tblGrid>
      <w:tr w:rsidR="00ED5407" w:rsidRPr="00533167" w:rsidTr="009625ED">
        <w:trPr>
          <w:tblCellSpacing w:w="20" w:type="dxa"/>
        </w:trPr>
        <w:tc>
          <w:tcPr>
            <w:tcW w:w="1663" w:type="dxa"/>
            <w:shd w:val="clear" w:color="auto" w:fill="auto"/>
          </w:tcPr>
          <w:p w:rsidR="00ED5407" w:rsidRPr="00533167" w:rsidRDefault="00ED5407" w:rsidP="009625E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538" w:type="dxa"/>
            <w:shd w:val="clear" w:color="auto" w:fill="auto"/>
          </w:tcPr>
          <w:p w:rsidR="00ED5407" w:rsidRPr="00533167" w:rsidRDefault="00ED5407" w:rsidP="009625E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Respublikoje </w:t>
            </w: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prizininkai</w:t>
            </w:r>
          </w:p>
        </w:tc>
        <w:tc>
          <w:tcPr>
            <w:tcW w:w="2679" w:type="dxa"/>
            <w:shd w:val="clear" w:color="auto" w:fill="auto"/>
          </w:tcPr>
          <w:p w:rsidR="00ED5407" w:rsidRPr="00533167" w:rsidRDefault="00ED5407" w:rsidP="009625E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Zoniniuose prizininkai</w:t>
            </w:r>
          </w:p>
        </w:tc>
        <w:tc>
          <w:tcPr>
            <w:tcW w:w="2864" w:type="dxa"/>
            <w:shd w:val="clear" w:color="auto" w:fill="auto"/>
          </w:tcPr>
          <w:p w:rsidR="00ED5407" w:rsidRPr="00533167" w:rsidRDefault="00ED5407" w:rsidP="009625ED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Rajone prizininkai</w:t>
            </w:r>
          </w:p>
        </w:tc>
      </w:tr>
      <w:tr w:rsidR="00ED5407" w:rsidRPr="00533167" w:rsidTr="009625ED">
        <w:trPr>
          <w:tblCellSpacing w:w="20" w:type="dxa"/>
        </w:trPr>
        <w:tc>
          <w:tcPr>
            <w:tcW w:w="1663" w:type="dxa"/>
            <w:shd w:val="clear" w:color="auto" w:fill="auto"/>
          </w:tcPr>
          <w:p w:rsidR="00ED5407" w:rsidRPr="00533167" w:rsidRDefault="009625ED" w:rsidP="009625E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2012-</w:t>
            </w:r>
            <w:r w:rsidR="00ED5407"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D5407"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2538" w:type="dxa"/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22 mokiniai ir 4 komandinės</w:t>
            </w:r>
          </w:p>
        </w:tc>
        <w:tc>
          <w:tcPr>
            <w:tcW w:w="2679" w:type="dxa"/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2 komandinės</w:t>
            </w:r>
          </w:p>
        </w:tc>
        <w:tc>
          <w:tcPr>
            <w:tcW w:w="2864" w:type="dxa"/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117 mokinių ir 33 komandunės</w:t>
            </w:r>
          </w:p>
        </w:tc>
      </w:tr>
      <w:tr w:rsidR="00ED5407" w:rsidRPr="00533167" w:rsidTr="009625ED">
        <w:trPr>
          <w:trHeight w:val="589"/>
          <w:tblCellSpacing w:w="20" w:type="dxa"/>
        </w:trPr>
        <w:tc>
          <w:tcPr>
            <w:tcW w:w="1663" w:type="dxa"/>
            <w:tcBorders>
              <w:bottom w:val="in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2013/2014 m.m.</w:t>
            </w:r>
          </w:p>
        </w:tc>
        <w:tc>
          <w:tcPr>
            <w:tcW w:w="2538" w:type="dxa"/>
            <w:tcBorders>
              <w:bottom w:val="in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mokinių ir 3 komandinės vietos </w:t>
            </w:r>
          </w:p>
        </w:tc>
        <w:tc>
          <w:tcPr>
            <w:tcW w:w="2679" w:type="dxa"/>
            <w:tcBorders>
              <w:bottom w:val="in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2 komandinės  ir 8  mokiniai</w:t>
            </w:r>
          </w:p>
        </w:tc>
        <w:tc>
          <w:tcPr>
            <w:tcW w:w="2864" w:type="dxa"/>
            <w:tcBorders>
              <w:bottom w:val="in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eastAsia="Calibri" w:hAnsi="Times New Roman" w:cs="Times New Roman"/>
                <w:sz w:val="24"/>
                <w:szCs w:val="24"/>
              </w:rPr>
              <w:t>67 mokiniai  ir 21 komandinė</w:t>
            </w:r>
          </w:p>
        </w:tc>
      </w:tr>
      <w:tr w:rsidR="00ED5407" w:rsidRPr="00533167" w:rsidTr="009625ED">
        <w:trPr>
          <w:trHeight w:val="225"/>
          <w:tblCellSpacing w:w="20" w:type="dxa"/>
        </w:trPr>
        <w:tc>
          <w:tcPr>
            <w:tcW w:w="1663" w:type="dxa"/>
            <w:tcBorders>
              <w:top w:val="inset" w:sz="6" w:space="0" w:color="auto"/>
            </w:tcBorders>
            <w:shd w:val="clear" w:color="auto" w:fill="auto"/>
          </w:tcPr>
          <w:p w:rsidR="00ED5407" w:rsidRPr="00533167" w:rsidRDefault="00ED5407" w:rsidP="002C5B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2014/2015 m.m.</w:t>
            </w:r>
          </w:p>
        </w:tc>
        <w:tc>
          <w:tcPr>
            <w:tcW w:w="2538" w:type="dxa"/>
            <w:tcBorders>
              <w:top w:val="inset" w:sz="6" w:space="0" w:color="auto"/>
            </w:tcBorders>
            <w:shd w:val="clear" w:color="auto" w:fill="auto"/>
          </w:tcPr>
          <w:p w:rsidR="00ED5407" w:rsidRPr="00533167" w:rsidRDefault="00C20E7D" w:rsidP="002C5B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65 mokiniai ir 4 komandiniai</w:t>
            </w:r>
          </w:p>
        </w:tc>
        <w:tc>
          <w:tcPr>
            <w:tcW w:w="2679" w:type="dxa"/>
            <w:tcBorders>
              <w:top w:val="inset" w:sz="6" w:space="0" w:color="auto"/>
            </w:tcBorders>
            <w:shd w:val="clear" w:color="auto" w:fill="auto"/>
          </w:tcPr>
          <w:p w:rsidR="00ED5407" w:rsidRPr="00533167" w:rsidRDefault="00C20E7D" w:rsidP="002C5B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3 komandiniai ir 12 mokinių</w:t>
            </w:r>
          </w:p>
        </w:tc>
        <w:tc>
          <w:tcPr>
            <w:tcW w:w="2864" w:type="dxa"/>
            <w:tcBorders>
              <w:top w:val="inset" w:sz="6" w:space="0" w:color="auto"/>
            </w:tcBorders>
            <w:shd w:val="clear" w:color="auto" w:fill="auto"/>
          </w:tcPr>
          <w:p w:rsidR="00ED5407" w:rsidRPr="00533167" w:rsidRDefault="00C20E7D" w:rsidP="002C5B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67">
              <w:rPr>
                <w:rFonts w:ascii="Times New Roman" w:hAnsi="Times New Roman" w:cs="Times New Roman"/>
                <w:sz w:val="24"/>
                <w:szCs w:val="24"/>
              </w:rPr>
              <w:t>69 mokiniai ir 26 komandinės</w:t>
            </w:r>
          </w:p>
        </w:tc>
      </w:tr>
    </w:tbl>
    <w:p w:rsidR="009625ED" w:rsidRDefault="00D226EC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053F" w:rsidRDefault="00375BC6" w:rsidP="009625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142">
        <w:rPr>
          <w:rFonts w:ascii="Times New Roman" w:hAnsi="Times New Roman" w:cs="Times New Roman"/>
          <w:sz w:val="24"/>
          <w:szCs w:val="24"/>
        </w:rPr>
        <w:t>M</w:t>
      </w:r>
      <w:r w:rsidR="00587D2F">
        <w:rPr>
          <w:rFonts w:ascii="Times New Roman" w:hAnsi="Times New Roman" w:cs="Times New Roman"/>
          <w:sz w:val="24"/>
          <w:szCs w:val="24"/>
        </w:rPr>
        <w:t xml:space="preserve">okinių ir mokytojų </w:t>
      </w:r>
      <w:r w:rsidRPr="00932142">
        <w:rPr>
          <w:rFonts w:ascii="Times New Roman" w:hAnsi="Times New Roman" w:cs="Times New Roman"/>
          <w:sz w:val="24"/>
          <w:szCs w:val="24"/>
        </w:rPr>
        <w:t xml:space="preserve">laimėjimai yra pastebimi ir vertinami (paskatinimais, padėkos raštais, </w:t>
      </w:r>
      <w:r w:rsidR="00587D2F">
        <w:rPr>
          <w:rFonts w:ascii="Times New Roman" w:hAnsi="Times New Roman" w:cs="Times New Roman"/>
          <w:sz w:val="24"/>
          <w:szCs w:val="24"/>
        </w:rPr>
        <w:t xml:space="preserve">ekskursijomis, dovanomis ir </w:t>
      </w:r>
      <w:r w:rsidR="002C5BFC">
        <w:rPr>
          <w:rFonts w:ascii="Times New Roman" w:hAnsi="Times New Roman" w:cs="Times New Roman"/>
          <w:sz w:val="24"/>
          <w:szCs w:val="24"/>
        </w:rPr>
        <w:t xml:space="preserve">kt.),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tačiau  skatinimo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sistemą dar</w:t>
      </w:r>
      <w:r w:rsidRPr="00932142">
        <w:rPr>
          <w:rFonts w:ascii="Times New Roman" w:hAnsi="Times New Roman" w:cs="Times New Roman"/>
          <w:sz w:val="24"/>
          <w:szCs w:val="24"/>
        </w:rPr>
        <w:t xml:space="preserve"> n</w:t>
      </w:r>
      <w:r w:rsidR="002C5BFC">
        <w:rPr>
          <w:rFonts w:ascii="Times New Roman" w:hAnsi="Times New Roman" w:cs="Times New Roman"/>
          <w:sz w:val="24"/>
          <w:szCs w:val="24"/>
        </w:rPr>
        <w:t xml:space="preserve">umatoma tobulinti </w:t>
      </w:r>
      <w:r w:rsidR="00587D2F">
        <w:rPr>
          <w:rFonts w:ascii="Times New Roman" w:hAnsi="Times New Roman" w:cs="Times New Roman"/>
          <w:sz w:val="24"/>
          <w:szCs w:val="24"/>
        </w:rPr>
        <w:t xml:space="preserve">– </w:t>
      </w:r>
      <w:r w:rsidR="002C5BFC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32142">
        <w:rPr>
          <w:rFonts w:ascii="Times New Roman" w:hAnsi="Times New Roman" w:cs="Times New Roman"/>
          <w:sz w:val="24"/>
          <w:szCs w:val="24"/>
        </w:rPr>
        <w:t xml:space="preserve"> m. parengti naują tvarkos aprašą.</w:t>
      </w:r>
      <w:r w:rsidR="00D2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A0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2C5BFC">
        <w:rPr>
          <w:rFonts w:ascii="Times New Roman" w:hAnsi="Times New Roman" w:cs="Times New Roman"/>
          <w:sz w:val="24"/>
          <w:szCs w:val="24"/>
        </w:rPr>
        <w:t xml:space="preserve">bendruomenės nariams kryptingai </w:t>
      </w:r>
      <w:r w:rsidRPr="00932142">
        <w:rPr>
          <w:rFonts w:ascii="Times New Roman" w:hAnsi="Times New Roman" w:cs="Times New Roman"/>
          <w:sz w:val="24"/>
          <w:szCs w:val="24"/>
        </w:rPr>
        <w:t>t</w:t>
      </w:r>
      <w:r w:rsidR="002C5BFC">
        <w:rPr>
          <w:rFonts w:ascii="Times New Roman" w:hAnsi="Times New Roman" w:cs="Times New Roman"/>
          <w:sz w:val="24"/>
          <w:szCs w:val="24"/>
        </w:rPr>
        <w:t xml:space="preserve">eikiama socialinė pedagoginė </w:t>
      </w:r>
      <w:r w:rsidRPr="00932142">
        <w:rPr>
          <w:rFonts w:ascii="Times New Roman" w:hAnsi="Times New Roman" w:cs="Times New Roman"/>
          <w:sz w:val="24"/>
          <w:szCs w:val="24"/>
        </w:rPr>
        <w:t>pagalba.</w:t>
      </w:r>
      <w:proofErr w:type="gramEnd"/>
      <w:r w:rsidRPr="00932142">
        <w:rPr>
          <w:rFonts w:ascii="Times New Roman" w:hAnsi="Times New Roman" w:cs="Times New Roman"/>
          <w:sz w:val="24"/>
          <w:szCs w:val="24"/>
        </w:rPr>
        <w:t xml:space="preserve"> Socialinė </w:t>
      </w:r>
      <w:r w:rsidR="002C5BFC">
        <w:rPr>
          <w:rFonts w:ascii="Times New Roman" w:hAnsi="Times New Roman" w:cs="Times New Roman"/>
          <w:sz w:val="24"/>
          <w:szCs w:val="24"/>
        </w:rPr>
        <w:t xml:space="preserve">pedagogė </w:t>
      </w:r>
      <w:r w:rsidRPr="00932142">
        <w:rPr>
          <w:rFonts w:ascii="Times New Roman" w:hAnsi="Times New Roman" w:cs="Times New Roman"/>
          <w:sz w:val="24"/>
          <w:szCs w:val="24"/>
        </w:rPr>
        <w:t xml:space="preserve">sistemingai kaupia </w:t>
      </w:r>
      <w:r w:rsidR="002C5BFC">
        <w:rPr>
          <w:rFonts w:ascii="Times New Roman" w:hAnsi="Times New Roman" w:cs="Times New Roman"/>
          <w:sz w:val="24"/>
          <w:szCs w:val="24"/>
        </w:rPr>
        <w:t>bei analizuoja informaciją apie socialinės rizikos</w:t>
      </w:r>
      <w:r w:rsidRPr="00932142">
        <w:rPr>
          <w:rFonts w:ascii="Times New Roman" w:hAnsi="Times New Roman" w:cs="Times New Roman"/>
          <w:sz w:val="24"/>
          <w:szCs w:val="24"/>
        </w:rPr>
        <w:t xml:space="preserve"> grupės </w:t>
      </w:r>
      <w:r w:rsidR="002C5BFC">
        <w:rPr>
          <w:rFonts w:ascii="Times New Roman" w:hAnsi="Times New Roman" w:cs="Times New Roman"/>
          <w:sz w:val="24"/>
          <w:szCs w:val="24"/>
        </w:rPr>
        <w:t xml:space="preserve">šeimas, šiose šeimose gyvenančius mokinius, </w:t>
      </w:r>
      <w:r w:rsidRPr="00932142">
        <w:rPr>
          <w:rFonts w:ascii="Times New Roman" w:hAnsi="Times New Roman" w:cs="Times New Roman"/>
          <w:sz w:val="24"/>
          <w:szCs w:val="24"/>
        </w:rPr>
        <w:t>globojamus</w:t>
      </w:r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r w:rsidRPr="00932142">
        <w:rPr>
          <w:rFonts w:ascii="Times New Roman" w:hAnsi="Times New Roman" w:cs="Times New Roman"/>
          <w:sz w:val="24"/>
          <w:szCs w:val="24"/>
        </w:rPr>
        <w:t xml:space="preserve">vaikus, </w:t>
      </w:r>
      <w:r w:rsidR="002C5BFC">
        <w:rPr>
          <w:rFonts w:ascii="Times New Roman" w:hAnsi="Times New Roman" w:cs="Times New Roman"/>
          <w:sz w:val="24"/>
          <w:szCs w:val="24"/>
        </w:rPr>
        <w:t>socialinės adaptacijos</w:t>
      </w:r>
      <w:r w:rsidRPr="00932142">
        <w:rPr>
          <w:rFonts w:ascii="Times New Roman" w:hAnsi="Times New Roman" w:cs="Times New Roman"/>
          <w:sz w:val="24"/>
          <w:szCs w:val="24"/>
        </w:rPr>
        <w:t xml:space="preserve"> problemų t</w:t>
      </w:r>
      <w:r w:rsidR="002C5BFC">
        <w:rPr>
          <w:rFonts w:ascii="Times New Roman" w:hAnsi="Times New Roman" w:cs="Times New Roman"/>
          <w:sz w:val="24"/>
          <w:szCs w:val="24"/>
        </w:rPr>
        <w:t xml:space="preserve">urinčius mokinius, konsultuoja </w:t>
      </w:r>
      <w:r w:rsidRPr="00932142">
        <w:rPr>
          <w:rFonts w:ascii="Times New Roman" w:hAnsi="Times New Roman" w:cs="Times New Roman"/>
          <w:sz w:val="24"/>
          <w:szCs w:val="24"/>
        </w:rPr>
        <w:t xml:space="preserve">mokyklos bendruomenės narius, </w:t>
      </w:r>
      <w:proofErr w:type="gramStart"/>
      <w:r w:rsidRPr="00932142">
        <w:rPr>
          <w:rFonts w:ascii="Times New Roman" w:hAnsi="Times New Roman" w:cs="Times New Roman"/>
          <w:sz w:val="24"/>
          <w:szCs w:val="24"/>
        </w:rPr>
        <w:t>veda</w:t>
      </w:r>
      <w:proofErr w:type="gramEnd"/>
      <w:r w:rsidRPr="00932142">
        <w:rPr>
          <w:rFonts w:ascii="Times New Roman" w:hAnsi="Times New Roman" w:cs="Times New Roman"/>
          <w:sz w:val="24"/>
          <w:szCs w:val="24"/>
        </w:rPr>
        <w:t xml:space="preserve"> socialinių įgūdžių užsiėmimus.</w:t>
      </w:r>
      <w:r w:rsidR="00D2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Per mokslo metus pravestos 236 konsultacijos, 27 socialinių </w:t>
      </w:r>
      <w:r w:rsidRPr="00932142">
        <w:rPr>
          <w:rFonts w:ascii="Times New Roman" w:hAnsi="Times New Roman" w:cs="Times New Roman"/>
          <w:sz w:val="24"/>
          <w:szCs w:val="24"/>
        </w:rPr>
        <w:t>į</w:t>
      </w:r>
      <w:r w:rsidR="002C5BFC">
        <w:rPr>
          <w:rFonts w:ascii="Times New Roman" w:hAnsi="Times New Roman" w:cs="Times New Roman"/>
          <w:sz w:val="24"/>
          <w:szCs w:val="24"/>
        </w:rPr>
        <w:t>gūdžių užsiėmimai.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Kartu su </w:t>
      </w:r>
      <w:r w:rsidRPr="00932142">
        <w:rPr>
          <w:rFonts w:ascii="Times New Roman" w:hAnsi="Times New Roman" w:cs="Times New Roman"/>
          <w:sz w:val="24"/>
          <w:szCs w:val="24"/>
        </w:rPr>
        <w:t>Vaiko ger</w:t>
      </w:r>
      <w:r w:rsidR="002C5BFC">
        <w:rPr>
          <w:rFonts w:ascii="Times New Roman" w:hAnsi="Times New Roman" w:cs="Times New Roman"/>
          <w:sz w:val="24"/>
          <w:szCs w:val="24"/>
        </w:rPr>
        <w:t xml:space="preserve">ovės </w:t>
      </w:r>
      <w:r w:rsidRPr="00932142">
        <w:rPr>
          <w:rFonts w:ascii="Times New Roman" w:hAnsi="Times New Roman" w:cs="Times New Roman"/>
          <w:sz w:val="24"/>
          <w:szCs w:val="24"/>
        </w:rPr>
        <w:t>k</w:t>
      </w:r>
      <w:r w:rsidR="002C5BFC">
        <w:rPr>
          <w:rFonts w:ascii="Times New Roman" w:hAnsi="Times New Roman" w:cs="Times New Roman"/>
          <w:sz w:val="24"/>
          <w:szCs w:val="24"/>
        </w:rPr>
        <w:t xml:space="preserve">omisija </w:t>
      </w:r>
      <w:r w:rsidR="00840DC7">
        <w:rPr>
          <w:rFonts w:ascii="Times New Roman" w:hAnsi="Times New Roman" w:cs="Times New Roman"/>
          <w:sz w:val="24"/>
          <w:szCs w:val="24"/>
        </w:rPr>
        <w:t xml:space="preserve">svarstomas </w:t>
      </w:r>
      <w:r w:rsidR="002C5BFC">
        <w:rPr>
          <w:rFonts w:ascii="Times New Roman" w:hAnsi="Times New Roman" w:cs="Times New Roman"/>
          <w:sz w:val="24"/>
          <w:szCs w:val="24"/>
        </w:rPr>
        <w:t>netinkamas</w:t>
      </w:r>
      <w:r w:rsidRPr="00932142">
        <w:rPr>
          <w:rFonts w:ascii="Times New Roman" w:hAnsi="Times New Roman" w:cs="Times New Roman"/>
          <w:sz w:val="24"/>
          <w:szCs w:val="24"/>
        </w:rPr>
        <w:t xml:space="preserve"> m</w:t>
      </w:r>
      <w:r w:rsidR="002C5BFC">
        <w:rPr>
          <w:rFonts w:ascii="Times New Roman" w:hAnsi="Times New Roman" w:cs="Times New Roman"/>
          <w:sz w:val="24"/>
          <w:szCs w:val="24"/>
        </w:rPr>
        <w:t xml:space="preserve">okinių elgesys, sprendžiamos įvairios </w:t>
      </w:r>
      <w:r w:rsidRPr="00932142">
        <w:rPr>
          <w:rFonts w:ascii="Times New Roman" w:hAnsi="Times New Roman" w:cs="Times New Roman"/>
          <w:sz w:val="24"/>
          <w:szCs w:val="24"/>
        </w:rPr>
        <w:t xml:space="preserve">konfliktinės </w:t>
      </w:r>
      <w:r w:rsidR="002C5BFC">
        <w:rPr>
          <w:rFonts w:ascii="Times New Roman" w:hAnsi="Times New Roman" w:cs="Times New Roman"/>
          <w:sz w:val="24"/>
          <w:szCs w:val="24"/>
        </w:rPr>
        <w:t xml:space="preserve">situacijos, tarpusavio </w:t>
      </w:r>
      <w:r w:rsidRPr="00932142">
        <w:rPr>
          <w:rFonts w:ascii="Times New Roman" w:hAnsi="Times New Roman" w:cs="Times New Roman"/>
          <w:sz w:val="24"/>
          <w:szCs w:val="24"/>
        </w:rPr>
        <w:t>bendr</w:t>
      </w:r>
      <w:r w:rsidR="002C5BFC">
        <w:rPr>
          <w:rFonts w:ascii="Times New Roman" w:hAnsi="Times New Roman" w:cs="Times New Roman"/>
          <w:sz w:val="24"/>
          <w:szCs w:val="24"/>
        </w:rPr>
        <w:t>avimo problemos, aiškinamasi mokin</w:t>
      </w:r>
      <w:r w:rsidR="00840DC7">
        <w:rPr>
          <w:rFonts w:ascii="Times New Roman" w:hAnsi="Times New Roman" w:cs="Times New Roman"/>
          <w:sz w:val="24"/>
          <w:szCs w:val="24"/>
        </w:rPr>
        <w:t xml:space="preserve">ių </w:t>
      </w:r>
      <w:r w:rsidR="002C5BFC">
        <w:rPr>
          <w:rFonts w:ascii="Times New Roman" w:hAnsi="Times New Roman" w:cs="Times New Roman"/>
          <w:sz w:val="24"/>
          <w:szCs w:val="24"/>
        </w:rPr>
        <w:t xml:space="preserve">mokymosi motyvacijos </w:t>
      </w:r>
      <w:r w:rsidRPr="00932142">
        <w:rPr>
          <w:rFonts w:ascii="Times New Roman" w:hAnsi="Times New Roman" w:cs="Times New Roman"/>
          <w:sz w:val="24"/>
          <w:szCs w:val="24"/>
        </w:rPr>
        <w:t>stokos,</w:t>
      </w:r>
      <w:r w:rsidR="00D226EC">
        <w:rPr>
          <w:rFonts w:ascii="Times New Roman" w:hAnsi="Times New Roman" w:cs="Times New Roman"/>
          <w:sz w:val="24"/>
          <w:szCs w:val="24"/>
        </w:rPr>
        <w:t xml:space="preserve"> </w:t>
      </w:r>
      <w:r w:rsidRPr="00932142">
        <w:rPr>
          <w:rFonts w:ascii="Times New Roman" w:hAnsi="Times New Roman" w:cs="Times New Roman"/>
          <w:sz w:val="24"/>
          <w:szCs w:val="24"/>
        </w:rPr>
        <w:t>pamokų praleidinėjimo priežastys.</w:t>
      </w:r>
      <w:proofErr w:type="gramEnd"/>
      <w:r w:rsidRPr="00932142">
        <w:rPr>
          <w:rFonts w:ascii="Times New Roman" w:hAnsi="Times New Roman" w:cs="Times New Roman"/>
          <w:sz w:val="24"/>
          <w:szCs w:val="24"/>
        </w:rPr>
        <w:t xml:space="preserve"> Bendradarbiauta su Vaiko teisių apsaugos skyriaus darbuotojais, konsultuotasi su Švietimo pagalbos centro specialistais </w:t>
      </w:r>
      <w:proofErr w:type="gramStart"/>
      <w:r w:rsidRPr="00932142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Pr="00932142">
        <w:rPr>
          <w:rFonts w:ascii="Times New Roman" w:hAnsi="Times New Roman" w:cs="Times New Roman"/>
          <w:sz w:val="24"/>
          <w:szCs w:val="24"/>
        </w:rPr>
        <w:t xml:space="preserve"> kvalifikuotos pagalbos mokiniams</w:t>
      </w:r>
      <w:r w:rsidR="002C5BFC">
        <w:rPr>
          <w:rFonts w:ascii="Times New Roman" w:hAnsi="Times New Roman" w:cs="Times New Roman"/>
          <w:sz w:val="24"/>
          <w:szCs w:val="24"/>
        </w:rPr>
        <w:t>, turintiems mokymosi, emocijų,</w:t>
      </w:r>
      <w:r w:rsidR="0008053F"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 xml:space="preserve">elgesio ar psichologinių </w:t>
      </w:r>
      <w:r w:rsidRPr="00932142">
        <w:rPr>
          <w:rFonts w:ascii="Times New Roman" w:hAnsi="Times New Roman" w:cs="Times New Roman"/>
          <w:sz w:val="24"/>
          <w:szCs w:val="24"/>
        </w:rPr>
        <w:t>pro</w:t>
      </w:r>
      <w:r w:rsidR="002C5BFC">
        <w:rPr>
          <w:rFonts w:ascii="Times New Roman" w:hAnsi="Times New Roman" w:cs="Times New Roman"/>
          <w:sz w:val="24"/>
          <w:szCs w:val="24"/>
        </w:rPr>
        <w:t>blemų.</w:t>
      </w:r>
    </w:p>
    <w:p w:rsidR="0008053F" w:rsidRDefault="0008053F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BFC">
        <w:rPr>
          <w:rFonts w:ascii="Times New Roman" w:hAnsi="Times New Roman" w:cs="Times New Roman"/>
          <w:sz w:val="24"/>
          <w:szCs w:val="24"/>
        </w:rPr>
        <w:t xml:space="preserve"> Stiprinami ryšiai su Socialinės pagalbos </w:t>
      </w:r>
      <w:r w:rsidR="00375BC6" w:rsidRPr="00932142">
        <w:rPr>
          <w:rFonts w:ascii="Times New Roman" w:hAnsi="Times New Roman" w:cs="Times New Roman"/>
          <w:sz w:val="24"/>
          <w:szCs w:val="24"/>
        </w:rPr>
        <w:t>sky</w:t>
      </w:r>
      <w:r w:rsidR="002C5BFC">
        <w:rPr>
          <w:rFonts w:ascii="Times New Roman" w:hAnsi="Times New Roman" w:cs="Times New Roman"/>
          <w:sz w:val="24"/>
          <w:szCs w:val="24"/>
        </w:rPr>
        <w:t xml:space="preserve">riaus ir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seniūnijų </w:t>
      </w:r>
      <w:r w:rsidR="002C5BFC">
        <w:rPr>
          <w:rFonts w:ascii="Times New Roman" w:hAnsi="Times New Roman" w:cs="Times New Roman"/>
          <w:sz w:val="24"/>
          <w:szCs w:val="24"/>
        </w:rPr>
        <w:t>darbuotojomis, atsakingomis už rizikos grupės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šeimų</w:t>
      </w:r>
      <w:r w:rsidR="002C5BFC">
        <w:rPr>
          <w:rFonts w:ascii="Times New Roman" w:hAnsi="Times New Roman" w:cs="Times New Roman"/>
          <w:sz w:val="24"/>
          <w:szCs w:val="24"/>
        </w:rPr>
        <w:t xml:space="preserve"> priežiūrą: kartu lankytasi šeimose, </w:t>
      </w:r>
      <w:r w:rsidR="00375BC6" w:rsidRPr="00932142">
        <w:rPr>
          <w:rFonts w:ascii="Times New Roman" w:hAnsi="Times New Roman" w:cs="Times New Roman"/>
          <w:sz w:val="24"/>
          <w:szCs w:val="24"/>
        </w:rPr>
        <w:t>padėta spręsti jų socialinės ir buitinės problemos, vaikai aprūpinti reikalingomis mokinio reikmėmis.</w:t>
      </w:r>
      <w:r w:rsidR="002C5BFC">
        <w:rPr>
          <w:rFonts w:ascii="Times New Roman" w:hAnsi="Times New Roman" w:cs="Times New Roman"/>
          <w:sz w:val="24"/>
          <w:szCs w:val="24"/>
        </w:rPr>
        <w:t xml:space="preserve">Mokykloje buvo įgyvendinta </w:t>
      </w:r>
      <w:r w:rsidR="00375BC6" w:rsidRPr="00932142">
        <w:rPr>
          <w:rFonts w:ascii="Times New Roman" w:hAnsi="Times New Roman" w:cs="Times New Roman"/>
          <w:sz w:val="24"/>
          <w:szCs w:val="24"/>
        </w:rPr>
        <w:t>dau</w:t>
      </w:r>
      <w:r w:rsidR="002C5BFC">
        <w:rPr>
          <w:rFonts w:ascii="Times New Roman" w:hAnsi="Times New Roman" w:cs="Times New Roman"/>
          <w:sz w:val="24"/>
          <w:szCs w:val="24"/>
        </w:rPr>
        <w:t>guma numatytų prevencinių priemonių.</w:t>
      </w:r>
    </w:p>
    <w:p w:rsidR="0008053F" w:rsidRDefault="0008053F" w:rsidP="00375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5A0">
        <w:rPr>
          <w:rFonts w:ascii="Times New Roman" w:hAnsi="Times New Roman" w:cs="Times New Roman"/>
          <w:sz w:val="24"/>
          <w:szCs w:val="24"/>
        </w:rPr>
        <w:t>Gimnaziojos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bendruomenės nariai aktyviai dalyvavo tęstinėse akcijose, prevenciniuose projektuose ir konkursuose, gyvenimo įgūdžių ugdymo ir užimtumo programose.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</w:t>
      </w:r>
      <w:r w:rsidR="002C5BFC">
        <w:rPr>
          <w:rFonts w:ascii="Times New Roman" w:hAnsi="Times New Roman" w:cs="Times New Roman"/>
          <w:sz w:val="24"/>
          <w:szCs w:val="24"/>
        </w:rPr>
        <w:t xml:space="preserve"> m. lapkričio 16 d. buvo </w:t>
      </w:r>
      <w:r w:rsidR="005F7BBB">
        <w:rPr>
          <w:rFonts w:ascii="Times New Roman" w:hAnsi="Times New Roman" w:cs="Times New Roman"/>
          <w:sz w:val="24"/>
          <w:szCs w:val="24"/>
        </w:rPr>
        <w:t>vykdoma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tarp</w:t>
      </w:r>
      <w:r w:rsidR="005F7BBB">
        <w:rPr>
          <w:rFonts w:ascii="Times New Roman" w:hAnsi="Times New Roman" w:cs="Times New Roman"/>
          <w:sz w:val="24"/>
          <w:szCs w:val="24"/>
        </w:rPr>
        <w:t>tautinė</w:t>
      </w:r>
      <w:r w:rsidR="00840DC7">
        <w:rPr>
          <w:rFonts w:ascii="Times New Roman" w:hAnsi="Times New Roman" w:cs="Times New Roman"/>
          <w:sz w:val="24"/>
          <w:szCs w:val="24"/>
        </w:rPr>
        <w:t xml:space="preserve"> akcija „Tolerancijos skėtis“.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Akcijoje dalyvavo visų klasių mokiniai, kurie pagamino skėčių, simbolizuojančių vienybę ir toleranciją.</w:t>
      </w:r>
      <w:proofErr w:type="gramEnd"/>
    </w:p>
    <w:p w:rsidR="00375BC6" w:rsidRPr="00932142" w:rsidRDefault="00D226EC" w:rsidP="00D226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Visuomenės sveikatos priežiūros specialistė </w:t>
      </w:r>
      <w:r w:rsidR="00375BC6" w:rsidRPr="00932142">
        <w:rPr>
          <w:rFonts w:ascii="Times New Roman" w:hAnsi="Times New Roman" w:cs="Times New Roman"/>
          <w:sz w:val="24"/>
          <w:szCs w:val="24"/>
        </w:rPr>
        <w:t>pravedė paskaitas apie žalingus įpročius ir jų žalą, mokė sveikai gyventi.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Dailės mokytoja </w:t>
      </w:r>
      <w:r w:rsidR="00375BC6" w:rsidRPr="00932142">
        <w:rPr>
          <w:rFonts w:ascii="Times New Roman" w:hAnsi="Times New Roman" w:cs="Times New Roman"/>
          <w:sz w:val="24"/>
          <w:szCs w:val="24"/>
        </w:rPr>
        <w:t>A.</w:t>
      </w:r>
      <w:r w:rsidR="00375BC6">
        <w:rPr>
          <w:rFonts w:ascii="Times New Roman" w:hAnsi="Times New Roman" w:cs="Times New Roman"/>
          <w:sz w:val="24"/>
          <w:szCs w:val="24"/>
        </w:rPr>
        <w:t>Jusienė</w:t>
      </w:r>
      <w:r w:rsidR="002C5BFC">
        <w:rPr>
          <w:rFonts w:ascii="Times New Roman" w:hAnsi="Times New Roman" w:cs="Times New Roman"/>
          <w:sz w:val="24"/>
          <w:szCs w:val="24"/>
        </w:rPr>
        <w:t xml:space="preserve"> ir </w:t>
      </w:r>
      <w:r w:rsidR="00375BC6">
        <w:rPr>
          <w:rFonts w:ascii="Times New Roman" w:hAnsi="Times New Roman" w:cs="Times New Roman"/>
          <w:sz w:val="24"/>
          <w:szCs w:val="24"/>
        </w:rPr>
        <w:t>technologijų</w:t>
      </w:r>
      <w:r w:rsidR="002C5BFC">
        <w:rPr>
          <w:rFonts w:ascii="Times New Roman" w:hAnsi="Times New Roman" w:cs="Times New Roman"/>
          <w:sz w:val="24"/>
          <w:szCs w:val="24"/>
        </w:rPr>
        <w:t xml:space="preserve"> mokytoja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N. Bisikirskienė</w:t>
      </w:r>
      <w:r w:rsidR="002C5BFC">
        <w:rPr>
          <w:rFonts w:ascii="Times New Roman" w:hAnsi="Times New Roman" w:cs="Times New Roman"/>
          <w:sz w:val="24"/>
          <w:szCs w:val="24"/>
        </w:rPr>
        <w:t xml:space="preserve"> organizavo piešinių </w:t>
      </w:r>
      <w:r w:rsidR="00375BC6" w:rsidRPr="00932142">
        <w:rPr>
          <w:rFonts w:ascii="Times New Roman" w:hAnsi="Times New Roman" w:cs="Times New Roman"/>
          <w:sz w:val="24"/>
          <w:szCs w:val="24"/>
        </w:rPr>
        <w:t>konkursą.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201</w:t>
      </w:r>
      <w:r w:rsidR="00375BC6">
        <w:rPr>
          <w:rFonts w:ascii="Times New Roman" w:hAnsi="Times New Roman" w:cs="Times New Roman"/>
          <w:sz w:val="24"/>
          <w:szCs w:val="24"/>
        </w:rPr>
        <w:t>4</w:t>
      </w:r>
      <w:r w:rsidR="002C5BFC">
        <w:rPr>
          <w:rFonts w:ascii="Times New Roman" w:hAnsi="Times New Roman" w:cs="Times New Roman"/>
          <w:sz w:val="24"/>
          <w:szCs w:val="24"/>
        </w:rPr>
        <w:t xml:space="preserve"> m.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gruod</w:t>
      </w:r>
      <w:r w:rsidR="002C5BFC">
        <w:rPr>
          <w:rFonts w:ascii="Times New Roman" w:hAnsi="Times New Roman" w:cs="Times New Roman"/>
          <w:sz w:val="24"/>
          <w:szCs w:val="24"/>
        </w:rPr>
        <w:t xml:space="preserve">žio 6 d. mokykloje vyko </w:t>
      </w:r>
      <w:r w:rsidR="00375BC6" w:rsidRPr="00932142">
        <w:rPr>
          <w:rFonts w:ascii="Times New Roman" w:hAnsi="Times New Roman" w:cs="Times New Roman"/>
          <w:sz w:val="24"/>
          <w:szCs w:val="24"/>
        </w:rPr>
        <w:t>rengin</w:t>
      </w:r>
      <w:r w:rsidR="002C5BFC">
        <w:rPr>
          <w:rFonts w:ascii="Times New Roman" w:hAnsi="Times New Roman" w:cs="Times New Roman"/>
          <w:sz w:val="24"/>
          <w:szCs w:val="24"/>
        </w:rPr>
        <w:t xml:space="preserve">ys, skirtas Pasaulinės AIDS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dienos </w:t>
      </w:r>
      <w:r w:rsidR="002C5BFC">
        <w:rPr>
          <w:rFonts w:ascii="Times New Roman" w:hAnsi="Times New Roman" w:cs="Times New Roman"/>
          <w:sz w:val="24"/>
          <w:szCs w:val="24"/>
        </w:rPr>
        <w:lastRenderedPageBreak/>
        <w:t>paminėjimui – proto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mūšio</w:t>
      </w:r>
      <w:r w:rsidR="002C5BFC">
        <w:rPr>
          <w:rFonts w:ascii="Times New Roman" w:hAnsi="Times New Roman" w:cs="Times New Roman"/>
          <w:sz w:val="24"/>
          <w:szCs w:val="24"/>
        </w:rPr>
        <w:t xml:space="preserve"> konkursas „AIDS: geriau žinoti“.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Šį konkursą </w:t>
      </w:r>
      <w:r w:rsidR="00375BC6" w:rsidRPr="00932142">
        <w:rPr>
          <w:rFonts w:ascii="Times New Roman" w:hAnsi="Times New Roman" w:cs="Times New Roman"/>
          <w:sz w:val="24"/>
          <w:szCs w:val="24"/>
        </w:rPr>
        <w:t>inici</w:t>
      </w:r>
      <w:r w:rsidR="00375BC6">
        <w:rPr>
          <w:rFonts w:ascii="Times New Roman" w:hAnsi="Times New Roman" w:cs="Times New Roman"/>
          <w:sz w:val="24"/>
          <w:szCs w:val="24"/>
        </w:rPr>
        <w:t>avo parlamentas.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Konkursą surengėme tarp </w:t>
      </w:r>
      <w:r w:rsidR="00375BC6">
        <w:rPr>
          <w:rFonts w:ascii="Times New Roman" w:hAnsi="Times New Roman" w:cs="Times New Roman"/>
          <w:sz w:val="24"/>
          <w:szCs w:val="24"/>
        </w:rPr>
        <w:t xml:space="preserve">6 -8 ir 1g-4g </w:t>
      </w:r>
      <w:r w:rsidR="002C5BFC">
        <w:rPr>
          <w:rFonts w:ascii="Times New Roman" w:hAnsi="Times New Roman" w:cs="Times New Roman"/>
          <w:sz w:val="24"/>
          <w:szCs w:val="24"/>
        </w:rPr>
        <w:t>kl.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mokinių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komandų. Konkurso metu mokiniai įgijo žinių apie ŽIV/AIDS ligą,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pasekmes.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Gruodžio 17–21 d. mokykloje vyko kalėdinė akcija „Dalinkimės gerumu".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Surinkta kalėdinė labdara buvo išdalinta mūsų mokyklos menkai materialiai apsi</w:t>
      </w:r>
      <w:r w:rsidR="00840DC7">
        <w:rPr>
          <w:rFonts w:ascii="Times New Roman" w:hAnsi="Times New Roman" w:cs="Times New Roman"/>
          <w:sz w:val="24"/>
          <w:szCs w:val="24"/>
        </w:rPr>
        <w:t xml:space="preserve">rūpinusioms šeimoms.Nuosekliai buvo ugdomi sveikos </w:t>
      </w:r>
      <w:r w:rsidR="002C5BFC">
        <w:rPr>
          <w:rFonts w:ascii="Times New Roman" w:hAnsi="Times New Roman" w:cs="Times New Roman"/>
          <w:sz w:val="24"/>
          <w:szCs w:val="24"/>
        </w:rPr>
        <w:t>gyvensenos įgūdžiai.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Visuomenės </w:t>
      </w:r>
      <w:r w:rsidR="00840DC7">
        <w:rPr>
          <w:rFonts w:ascii="Times New Roman" w:hAnsi="Times New Roman" w:cs="Times New Roman"/>
          <w:sz w:val="24"/>
          <w:szCs w:val="24"/>
        </w:rPr>
        <w:t xml:space="preserve">sveikatos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840DC7">
        <w:rPr>
          <w:rFonts w:ascii="Times New Roman" w:hAnsi="Times New Roman" w:cs="Times New Roman"/>
          <w:sz w:val="24"/>
          <w:szCs w:val="24"/>
        </w:rPr>
        <w:t xml:space="preserve">specialistė skaitė paskaitas mokiniams apie asmens </w:t>
      </w:r>
      <w:r w:rsidR="00375BC6" w:rsidRPr="00932142">
        <w:rPr>
          <w:rFonts w:ascii="Times New Roman" w:hAnsi="Times New Roman" w:cs="Times New Roman"/>
          <w:sz w:val="24"/>
          <w:szCs w:val="24"/>
        </w:rPr>
        <w:t>hi</w:t>
      </w:r>
      <w:r w:rsidR="00840DC7">
        <w:rPr>
          <w:rFonts w:ascii="Times New Roman" w:hAnsi="Times New Roman" w:cs="Times New Roman"/>
          <w:sz w:val="24"/>
          <w:szCs w:val="24"/>
        </w:rPr>
        <w:t xml:space="preserve">gienos (rankų, dantų, </w:t>
      </w:r>
      <w:r w:rsidR="002C5BFC">
        <w:rPr>
          <w:rFonts w:ascii="Times New Roman" w:hAnsi="Times New Roman" w:cs="Times New Roman"/>
          <w:sz w:val="24"/>
          <w:szCs w:val="24"/>
        </w:rPr>
        <w:t xml:space="preserve">odos)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ir </w:t>
      </w:r>
      <w:r w:rsidR="00840DC7">
        <w:rPr>
          <w:rFonts w:ascii="Times New Roman" w:hAnsi="Times New Roman" w:cs="Times New Roman"/>
          <w:sz w:val="24"/>
          <w:szCs w:val="24"/>
        </w:rPr>
        <w:t>sveikos</w:t>
      </w:r>
      <w:r w:rsidR="002C5BFC">
        <w:rPr>
          <w:rFonts w:ascii="Times New Roman" w:hAnsi="Times New Roman" w:cs="Times New Roman"/>
          <w:sz w:val="24"/>
          <w:szCs w:val="24"/>
        </w:rPr>
        <w:t xml:space="preserve"> gyvensenos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įpročių </w:t>
      </w:r>
      <w:r w:rsidR="00840DC7">
        <w:rPr>
          <w:rFonts w:ascii="Times New Roman" w:hAnsi="Times New Roman" w:cs="Times New Roman"/>
          <w:sz w:val="24"/>
          <w:szCs w:val="24"/>
        </w:rPr>
        <w:t xml:space="preserve">pagrindus, švietė lytiškumo ugdymo klausimais, organizavo </w:t>
      </w:r>
      <w:r w:rsidR="00375BC6" w:rsidRPr="00932142">
        <w:rPr>
          <w:rFonts w:ascii="Times New Roman" w:hAnsi="Times New Roman" w:cs="Times New Roman"/>
          <w:sz w:val="24"/>
          <w:szCs w:val="24"/>
        </w:rPr>
        <w:t>lektorių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atvykimą į mokyklą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 xml:space="preserve">Ketvirtus metus, kovo 18–24 </w:t>
      </w:r>
      <w:r w:rsidR="00375BC6" w:rsidRPr="00932142">
        <w:rPr>
          <w:rFonts w:ascii="Times New Roman" w:hAnsi="Times New Roman" w:cs="Times New Roman"/>
          <w:sz w:val="24"/>
          <w:szCs w:val="24"/>
        </w:rPr>
        <w:t>di</w:t>
      </w:r>
      <w:r w:rsidR="00840DC7">
        <w:rPr>
          <w:rFonts w:ascii="Times New Roman" w:hAnsi="Times New Roman" w:cs="Times New Roman"/>
          <w:sz w:val="24"/>
          <w:szCs w:val="24"/>
        </w:rPr>
        <w:t xml:space="preserve">enomis, </w:t>
      </w:r>
      <w:r w:rsidR="002C5BFC">
        <w:rPr>
          <w:rFonts w:ascii="Times New Roman" w:hAnsi="Times New Roman" w:cs="Times New Roman"/>
          <w:sz w:val="24"/>
          <w:szCs w:val="24"/>
        </w:rPr>
        <w:t xml:space="preserve">mokyklos bendruomenė </w:t>
      </w:r>
      <w:r w:rsidR="00840DC7">
        <w:rPr>
          <w:rFonts w:ascii="Times New Roman" w:hAnsi="Times New Roman" w:cs="Times New Roman"/>
          <w:sz w:val="24"/>
          <w:szCs w:val="24"/>
        </w:rPr>
        <w:t xml:space="preserve">dalyvavo „Vaikų </w:t>
      </w:r>
      <w:r w:rsidR="00375BC6" w:rsidRPr="00932142">
        <w:rPr>
          <w:rFonts w:ascii="Times New Roman" w:hAnsi="Times New Roman" w:cs="Times New Roman"/>
          <w:sz w:val="24"/>
          <w:szCs w:val="24"/>
        </w:rPr>
        <w:t>inijos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“ organizuo</w:t>
      </w:r>
      <w:r w:rsidR="00840DC7">
        <w:rPr>
          <w:rFonts w:ascii="Times New Roman" w:hAnsi="Times New Roman" w:cs="Times New Roman"/>
          <w:sz w:val="24"/>
          <w:szCs w:val="24"/>
        </w:rPr>
        <w:t>jamoje</w:t>
      </w:r>
      <w:proofErr w:type="gramEnd"/>
      <w:r w:rsidR="00840DC7">
        <w:rPr>
          <w:rFonts w:ascii="Times New Roman" w:hAnsi="Times New Roman" w:cs="Times New Roman"/>
          <w:sz w:val="24"/>
          <w:szCs w:val="24"/>
        </w:rPr>
        <w:t xml:space="preserve"> akcijoje „Savaitė</w:t>
      </w:r>
      <w:r w:rsidR="002C5BFC">
        <w:rPr>
          <w:rFonts w:ascii="Times New Roman" w:hAnsi="Times New Roman" w:cs="Times New Roman"/>
          <w:sz w:val="24"/>
          <w:szCs w:val="24"/>
        </w:rPr>
        <w:t xml:space="preserve"> be p</w:t>
      </w:r>
      <w:r w:rsidR="00840DC7">
        <w:rPr>
          <w:rFonts w:ascii="Times New Roman" w:hAnsi="Times New Roman" w:cs="Times New Roman"/>
          <w:sz w:val="24"/>
          <w:szCs w:val="24"/>
        </w:rPr>
        <w:t xml:space="preserve">atyčių“, kurios </w:t>
      </w:r>
      <w:r w:rsidR="009625ED">
        <w:rPr>
          <w:rFonts w:ascii="Times New Roman" w:hAnsi="Times New Roman" w:cs="Times New Roman"/>
          <w:sz w:val="24"/>
          <w:szCs w:val="24"/>
        </w:rPr>
        <w:t>t</w:t>
      </w:r>
      <w:r w:rsidR="00840DC7">
        <w:rPr>
          <w:rFonts w:ascii="Times New Roman" w:hAnsi="Times New Roman" w:cs="Times New Roman"/>
          <w:sz w:val="24"/>
          <w:szCs w:val="24"/>
        </w:rPr>
        <w:t xml:space="preserve">ema „Būk mano </w:t>
      </w:r>
      <w:r w:rsidR="002C5BFC">
        <w:rPr>
          <w:rFonts w:ascii="Times New Roman" w:hAnsi="Times New Roman" w:cs="Times New Roman"/>
          <w:sz w:val="24"/>
          <w:szCs w:val="24"/>
        </w:rPr>
        <w:t xml:space="preserve">draugas“. Kiekviena </w:t>
      </w:r>
      <w:r w:rsidR="00375BC6" w:rsidRPr="00932142">
        <w:rPr>
          <w:rFonts w:ascii="Times New Roman" w:hAnsi="Times New Roman" w:cs="Times New Roman"/>
          <w:sz w:val="24"/>
          <w:szCs w:val="24"/>
        </w:rPr>
        <w:t>k</w:t>
      </w:r>
      <w:r w:rsidR="00840DC7">
        <w:rPr>
          <w:rFonts w:ascii="Times New Roman" w:hAnsi="Times New Roman" w:cs="Times New Roman"/>
          <w:sz w:val="24"/>
          <w:szCs w:val="24"/>
        </w:rPr>
        <w:t xml:space="preserve">lasė gamino plakatą, kuriame </w:t>
      </w:r>
      <w:r w:rsidR="00375BC6" w:rsidRPr="00932142">
        <w:rPr>
          <w:rFonts w:ascii="Times New Roman" w:hAnsi="Times New Roman" w:cs="Times New Roman"/>
          <w:sz w:val="24"/>
          <w:szCs w:val="24"/>
        </w:rPr>
        <w:t>atsispindėjo d</w:t>
      </w:r>
      <w:r w:rsidR="002C5BFC">
        <w:rPr>
          <w:rFonts w:ascii="Times New Roman" w:hAnsi="Times New Roman" w:cs="Times New Roman"/>
          <w:sz w:val="24"/>
          <w:szCs w:val="24"/>
        </w:rPr>
        <w:t xml:space="preserve">raugystės,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bendravimo  temos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, mokinių  požiūris į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patyčių, </w:t>
      </w:r>
      <w:r w:rsidR="00840DC7">
        <w:rPr>
          <w:rFonts w:ascii="Times New Roman" w:hAnsi="Times New Roman" w:cs="Times New Roman"/>
          <w:sz w:val="24"/>
          <w:szCs w:val="24"/>
        </w:rPr>
        <w:t xml:space="preserve">priekabiavimo </w:t>
      </w:r>
      <w:r w:rsidR="002C5BFC">
        <w:rPr>
          <w:rFonts w:ascii="Times New Roman" w:hAnsi="Times New Roman" w:cs="Times New Roman"/>
          <w:sz w:val="24"/>
          <w:szCs w:val="24"/>
        </w:rPr>
        <w:t xml:space="preserve">žalą.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Mokinių tarybos nariai mokyklos bendruomenei išdalino akcijos </w:t>
      </w:r>
      <w:r w:rsidR="00375BC6" w:rsidRPr="00932142">
        <w:rPr>
          <w:rFonts w:ascii="Times New Roman" w:hAnsi="Times New Roman" w:cs="Times New Roman"/>
          <w:sz w:val="24"/>
          <w:szCs w:val="24"/>
        </w:rPr>
        <w:t>emblemas.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>Kl</w:t>
      </w:r>
      <w:r w:rsidR="005F7BBB">
        <w:rPr>
          <w:rFonts w:ascii="Times New Roman" w:hAnsi="Times New Roman" w:cs="Times New Roman"/>
          <w:sz w:val="24"/>
          <w:szCs w:val="24"/>
        </w:rPr>
        <w:t xml:space="preserve">asių </w:t>
      </w:r>
      <w:r w:rsidR="00840DC7">
        <w:rPr>
          <w:rFonts w:ascii="Times New Roman" w:hAnsi="Times New Roman" w:cs="Times New Roman"/>
          <w:sz w:val="24"/>
          <w:szCs w:val="24"/>
        </w:rPr>
        <w:t>valandėlių metu mokiniams</w:t>
      </w:r>
      <w:r w:rsidR="002C5BFC">
        <w:rPr>
          <w:rFonts w:ascii="Times New Roman" w:hAnsi="Times New Roman" w:cs="Times New Roman"/>
          <w:sz w:val="24"/>
          <w:szCs w:val="24"/>
        </w:rPr>
        <w:t xml:space="preserve"> buvo parodytos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skaidrės  apie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pat</w:t>
      </w:r>
      <w:r w:rsidR="002C5BFC">
        <w:rPr>
          <w:rFonts w:ascii="Times New Roman" w:hAnsi="Times New Roman" w:cs="Times New Roman"/>
          <w:sz w:val="24"/>
          <w:szCs w:val="24"/>
        </w:rPr>
        <w:t xml:space="preserve">yčių žalą, diskutuota, kaip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jų išvengti, kur kreiptis pagalbos. </w:t>
      </w:r>
      <w:r w:rsidR="00375BC6">
        <w:rPr>
          <w:rFonts w:ascii="Times New Roman" w:hAnsi="Times New Roman" w:cs="Times New Roman"/>
          <w:sz w:val="24"/>
          <w:szCs w:val="24"/>
        </w:rPr>
        <w:t>2014</w:t>
      </w:r>
      <w:r w:rsidR="00840DC7">
        <w:rPr>
          <w:rFonts w:ascii="Times New Roman" w:hAnsi="Times New Roman" w:cs="Times New Roman"/>
          <w:sz w:val="24"/>
          <w:szCs w:val="24"/>
        </w:rPr>
        <w:t xml:space="preserve"> m. </w:t>
      </w:r>
      <w:r w:rsidR="00375BC6">
        <w:rPr>
          <w:rFonts w:ascii="Times New Roman" w:hAnsi="Times New Roman" w:cs="Times New Roman"/>
          <w:sz w:val="24"/>
          <w:szCs w:val="24"/>
        </w:rPr>
        <w:t>apkričio ėnesį</w:t>
      </w:r>
      <w:r w:rsidR="002C5BFC">
        <w:rPr>
          <w:rFonts w:ascii="Times New Roman" w:hAnsi="Times New Roman" w:cs="Times New Roman"/>
          <w:sz w:val="24"/>
          <w:szCs w:val="24"/>
        </w:rPr>
        <w:t xml:space="preserve"> mokykloje </w:t>
      </w:r>
      <w:r w:rsidR="00375BC6" w:rsidRPr="00932142">
        <w:rPr>
          <w:rFonts w:ascii="Times New Roman" w:hAnsi="Times New Roman" w:cs="Times New Roman"/>
          <w:sz w:val="24"/>
          <w:szCs w:val="24"/>
        </w:rPr>
        <w:t>v</w:t>
      </w:r>
      <w:r w:rsidR="002C5BFC">
        <w:rPr>
          <w:rFonts w:ascii="Times New Roman" w:hAnsi="Times New Roman" w:cs="Times New Roman"/>
          <w:sz w:val="24"/>
          <w:szCs w:val="24"/>
        </w:rPr>
        <w:t xml:space="preserve">yko pirmieji programos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,,Taiki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 xml:space="preserve"> mokykla”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mokymai.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Juose dalyvavo 10 mū</w:t>
      </w:r>
      <w:r w:rsidR="00375BC6">
        <w:rPr>
          <w:rFonts w:ascii="Times New Roman" w:hAnsi="Times New Roman" w:cs="Times New Roman"/>
          <w:sz w:val="24"/>
          <w:szCs w:val="24"/>
        </w:rPr>
        <w:t>sų mokyklos mokytojų ir 1</w:t>
      </w:r>
      <w:r w:rsidR="0008053F">
        <w:rPr>
          <w:rFonts w:ascii="Times New Roman" w:hAnsi="Times New Roman" w:cs="Times New Roman"/>
          <w:sz w:val="24"/>
          <w:szCs w:val="24"/>
        </w:rPr>
        <w:t>2</w:t>
      </w:r>
      <w:r w:rsidR="00375BC6">
        <w:rPr>
          <w:rFonts w:ascii="Times New Roman" w:hAnsi="Times New Roman" w:cs="Times New Roman"/>
          <w:sz w:val="24"/>
          <w:szCs w:val="24"/>
        </w:rPr>
        <w:t xml:space="preserve"> mokinių.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 xml:space="preserve">2015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m. </w:t>
      </w:r>
      <w:r w:rsidR="00375BC6">
        <w:rPr>
          <w:rFonts w:ascii="Times New Roman" w:hAnsi="Times New Roman" w:cs="Times New Roman"/>
          <w:sz w:val="24"/>
          <w:szCs w:val="24"/>
        </w:rPr>
        <w:t>balandžio 25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d. aktyviai dalyvavome ap</w:t>
      </w:r>
      <w:r w:rsidR="00375BC6">
        <w:rPr>
          <w:rFonts w:ascii="Times New Roman" w:hAnsi="Times New Roman" w:cs="Times New Roman"/>
          <w:sz w:val="24"/>
          <w:szCs w:val="24"/>
        </w:rPr>
        <w:t>linkosaugos akcijoje „Darom 2015</w:t>
      </w:r>
      <w:r w:rsidR="00375BC6" w:rsidRPr="00932142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Mokiniai rinko šiukšles mokyklos teritorijoje, švarino </w:t>
      </w:r>
      <w:r w:rsidR="00375BC6">
        <w:rPr>
          <w:rFonts w:ascii="Times New Roman" w:hAnsi="Times New Roman" w:cs="Times New Roman"/>
          <w:sz w:val="24"/>
          <w:szCs w:val="24"/>
        </w:rPr>
        <w:t>Jiezno seniūnijos aplinką</w:t>
      </w:r>
      <w:r w:rsidR="00375BC6" w:rsidRPr="0093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Akciją organizavo ir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šaulių būrelio vadovas S. Žalys.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>Dėl lėšų stokos mokykloje nebuvo kryptingai plėtojama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profesin</w:t>
      </w:r>
      <w:r w:rsidR="002C5BFC">
        <w:rPr>
          <w:rFonts w:ascii="Times New Roman" w:hAnsi="Times New Roman" w:cs="Times New Roman"/>
          <w:sz w:val="24"/>
          <w:szCs w:val="24"/>
        </w:rPr>
        <w:t xml:space="preserve">io informavimo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veikla: </w:t>
      </w:r>
      <w:r w:rsidR="002C5BFC">
        <w:rPr>
          <w:rFonts w:ascii="Times New Roman" w:hAnsi="Times New Roman" w:cs="Times New Roman"/>
          <w:sz w:val="24"/>
          <w:szCs w:val="24"/>
        </w:rPr>
        <w:t xml:space="preserve">negalėjome </w:t>
      </w:r>
      <w:r w:rsidR="00375BC6" w:rsidRPr="00932142">
        <w:rPr>
          <w:rFonts w:ascii="Times New Roman" w:hAnsi="Times New Roman" w:cs="Times New Roman"/>
          <w:sz w:val="24"/>
          <w:szCs w:val="24"/>
        </w:rPr>
        <w:t>aplankyti mokyklų ir cent</w:t>
      </w:r>
      <w:r w:rsidR="002C5BFC">
        <w:rPr>
          <w:rFonts w:ascii="Times New Roman" w:hAnsi="Times New Roman" w:cs="Times New Roman"/>
          <w:sz w:val="24"/>
          <w:szCs w:val="24"/>
        </w:rPr>
        <w:t xml:space="preserve">rų kituose mietuose. Palaikėme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glaudesnį ryšį su </w:t>
      </w:r>
      <w:r w:rsidR="00375BC6">
        <w:rPr>
          <w:rFonts w:ascii="Times New Roman" w:hAnsi="Times New Roman" w:cs="Times New Roman"/>
          <w:sz w:val="24"/>
          <w:szCs w:val="24"/>
        </w:rPr>
        <w:t>Prienų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 xml:space="preserve">darbo birža: </w:t>
      </w:r>
      <w:r w:rsidR="00375BC6">
        <w:rPr>
          <w:rFonts w:ascii="Times New Roman" w:hAnsi="Times New Roman" w:cs="Times New Roman"/>
          <w:sz w:val="24"/>
          <w:szCs w:val="24"/>
        </w:rPr>
        <w:t>2-1g ir 2g</w:t>
      </w:r>
      <w:r w:rsidR="002C5BFC">
        <w:rPr>
          <w:rFonts w:ascii="Times New Roman" w:hAnsi="Times New Roman" w:cs="Times New Roman"/>
          <w:sz w:val="24"/>
          <w:szCs w:val="24"/>
        </w:rPr>
        <w:t xml:space="preserve"> klasių mokiniai lankėsi biržoje, išklausė </w:t>
      </w:r>
      <w:r w:rsidR="00375BC6" w:rsidRPr="00932142">
        <w:rPr>
          <w:rFonts w:ascii="Times New Roman" w:hAnsi="Times New Roman" w:cs="Times New Roman"/>
          <w:sz w:val="24"/>
          <w:szCs w:val="24"/>
        </w:rPr>
        <w:t>įst</w:t>
      </w:r>
      <w:r w:rsidR="00840DC7">
        <w:rPr>
          <w:rFonts w:ascii="Times New Roman" w:hAnsi="Times New Roman" w:cs="Times New Roman"/>
          <w:sz w:val="24"/>
          <w:szCs w:val="24"/>
        </w:rPr>
        <w:t xml:space="preserve">aigos </w:t>
      </w:r>
      <w:r w:rsidR="00375BC6">
        <w:rPr>
          <w:rFonts w:ascii="Times New Roman" w:hAnsi="Times New Roman" w:cs="Times New Roman"/>
          <w:sz w:val="24"/>
          <w:szCs w:val="24"/>
        </w:rPr>
        <w:t xml:space="preserve">atstovės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paskaitą apie įvairias profesijas, mokymosi sąlygas, karjeros pasirinkimo galimybes.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Balandžio 11 d. 8a</w:t>
      </w:r>
      <w:r w:rsidR="00375BC6">
        <w:rPr>
          <w:rFonts w:ascii="Times New Roman" w:hAnsi="Times New Roman" w:cs="Times New Roman"/>
          <w:sz w:val="24"/>
          <w:szCs w:val="24"/>
        </w:rPr>
        <w:t>, 8b, 1g, 2g</w:t>
      </w:r>
      <w:r w:rsidR="00333D8E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kl.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 w:rsidRPr="00932142">
        <w:rPr>
          <w:rFonts w:ascii="Times New Roman" w:hAnsi="Times New Roman" w:cs="Times New Roman"/>
          <w:sz w:val="24"/>
          <w:szCs w:val="24"/>
        </w:rPr>
        <w:t>mokiniai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vyko į atvirų durų dieną Marijampolės profesinio </w:t>
      </w:r>
      <w:r w:rsidR="00840DC7">
        <w:rPr>
          <w:rFonts w:ascii="Times New Roman" w:hAnsi="Times New Roman" w:cs="Times New Roman"/>
          <w:sz w:val="24"/>
          <w:szCs w:val="24"/>
        </w:rPr>
        <w:t xml:space="preserve">rengimo </w:t>
      </w:r>
      <w:r>
        <w:rPr>
          <w:rFonts w:ascii="Times New Roman" w:hAnsi="Times New Roman" w:cs="Times New Roman"/>
          <w:sz w:val="24"/>
          <w:szCs w:val="24"/>
        </w:rPr>
        <w:t>centre</w:t>
      </w:r>
      <w:r w:rsidR="00375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Mokiniai </w:t>
      </w:r>
      <w:r w:rsidR="00375BC6" w:rsidRPr="00932142">
        <w:rPr>
          <w:rFonts w:ascii="Times New Roman" w:hAnsi="Times New Roman" w:cs="Times New Roman"/>
          <w:sz w:val="24"/>
          <w:szCs w:val="24"/>
        </w:rPr>
        <w:t>tur</w:t>
      </w:r>
      <w:r w:rsidR="00840DC7">
        <w:rPr>
          <w:rFonts w:ascii="Times New Roman" w:hAnsi="Times New Roman" w:cs="Times New Roman"/>
          <w:sz w:val="24"/>
          <w:szCs w:val="24"/>
        </w:rPr>
        <w:t xml:space="preserve">ėjo galimybę </w:t>
      </w:r>
      <w:r w:rsidR="002C5BFC">
        <w:rPr>
          <w:rFonts w:ascii="Times New Roman" w:hAnsi="Times New Roman" w:cs="Times New Roman"/>
          <w:sz w:val="24"/>
          <w:szCs w:val="24"/>
        </w:rPr>
        <w:t xml:space="preserve">susipažinti su šioje </w:t>
      </w:r>
      <w:r w:rsidR="00375BC6" w:rsidRPr="00932142">
        <w:rPr>
          <w:rFonts w:ascii="Times New Roman" w:hAnsi="Times New Roman" w:cs="Times New Roman"/>
          <w:sz w:val="24"/>
          <w:szCs w:val="24"/>
        </w:rPr>
        <w:t>mokyk</w:t>
      </w:r>
      <w:r w:rsidR="00840DC7">
        <w:rPr>
          <w:rFonts w:ascii="Times New Roman" w:hAnsi="Times New Roman" w:cs="Times New Roman"/>
          <w:sz w:val="24"/>
          <w:szCs w:val="24"/>
        </w:rPr>
        <w:t xml:space="preserve">loje siūlomomis </w:t>
      </w:r>
      <w:r w:rsidR="002C5BFC">
        <w:rPr>
          <w:rFonts w:ascii="Times New Roman" w:hAnsi="Times New Roman" w:cs="Times New Roman"/>
          <w:sz w:val="24"/>
          <w:szCs w:val="24"/>
        </w:rPr>
        <w:t>profesijomis, sužinojo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api</w:t>
      </w:r>
      <w:r w:rsidR="002C5BFC">
        <w:rPr>
          <w:rFonts w:ascii="Times New Roman" w:hAnsi="Times New Roman" w:cs="Times New Roman"/>
          <w:sz w:val="24"/>
          <w:szCs w:val="24"/>
        </w:rPr>
        <w:t>e priėmimo sąlygas ir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  <w:r w:rsidR="002C5BFC">
        <w:rPr>
          <w:rFonts w:ascii="Times New Roman" w:hAnsi="Times New Roman" w:cs="Times New Roman"/>
          <w:sz w:val="24"/>
          <w:szCs w:val="24"/>
        </w:rPr>
        <w:t>reikalingus dokumentus.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Kovo mėn.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į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mokyklą b</w:t>
      </w:r>
      <w:r w:rsidR="00840DC7">
        <w:rPr>
          <w:rFonts w:ascii="Times New Roman" w:hAnsi="Times New Roman" w:cs="Times New Roman"/>
          <w:sz w:val="24"/>
          <w:szCs w:val="24"/>
        </w:rPr>
        <w:t>uvo atvykę darbuotojai iš Kauno</w:t>
      </w:r>
      <w:r w:rsidR="002C5BFC">
        <w:rPr>
          <w:rFonts w:ascii="Times New Roman" w:hAnsi="Times New Roman" w:cs="Times New Roman"/>
          <w:sz w:val="24"/>
          <w:szCs w:val="24"/>
        </w:rPr>
        <w:t xml:space="preserve"> maisto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pramonės </w:t>
      </w:r>
      <w:r w:rsidR="002C5BFC">
        <w:rPr>
          <w:rFonts w:ascii="Times New Roman" w:hAnsi="Times New Roman" w:cs="Times New Roman"/>
          <w:sz w:val="24"/>
          <w:szCs w:val="24"/>
        </w:rPr>
        <w:t xml:space="preserve">ir prekybos mokymo centro, kurie supažindino 10 kl.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>mokinius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su </w:t>
      </w:r>
      <w:r w:rsidR="009625ED">
        <w:rPr>
          <w:rFonts w:ascii="Times New Roman" w:hAnsi="Times New Roman" w:cs="Times New Roman"/>
          <w:sz w:val="24"/>
          <w:szCs w:val="24"/>
        </w:rPr>
        <w:t>š</w:t>
      </w:r>
      <w:r w:rsidR="002C5BFC">
        <w:rPr>
          <w:rFonts w:ascii="Times New Roman" w:hAnsi="Times New Roman" w:cs="Times New Roman"/>
          <w:sz w:val="24"/>
          <w:szCs w:val="24"/>
        </w:rPr>
        <w:t>iuo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mokym</w:t>
      </w:r>
      <w:r w:rsidR="002C5BFC">
        <w:rPr>
          <w:rFonts w:ascii="Times New Roman" w:hAnsi="Times New Roman" w:cs="Times New Roman"/>
          <w:sz w:val="24"/>
          <w:szCs w:val="24"/>
        </w:rPr>
        <w:t xml:space="preserve">osi centru, papasakojo apie </w:t>
      </w:r>
      <w:r w:rsidR="00375BC6" w:rsidRPr="00932142">
        <w:rPr>
          <w:rFonts w:ascii="Times New Roman" w:hAnsi="Times New Roman" w:cs="Times New Roman"/>
          <w:sz w:val="24"/>
          <w:szCs w:val="24"/>
        </w:rPr>
        <w:t>mokymosi sąlyg</w:t>
      </w:r>
      <w:r w:rsidR="009625ED">
        <w:rPr>
          <w:rFonts w:ascii="Times New Roman" w:hAnsi="Times New Roman" w:cs="Times New Roman"/>
          <w:sz w:val="24"/>
          <w:szCs w:val="24"/>
        </w:rPr>
        <w:t xml:space="preserve">as, </w:t>
      </w:r>
      <w:r w:rsidR="002C5BFC">
        <w:rPr>
          <w:rFonts w:ascii="Times New Roman" w:hAnsi="Times New Roman" w:cs="Times New Roman"/>
          <w:sz w:val="24"/>
          <w:szCs w:val="24"/>
        </w:rPr>
        <w:t xml:space="preserve">specialybes.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Bibliotekoje įrengti informaciniai stendai ir aplankai apie </w:t>
      </w:r>
      <w:r w:rsidR="00375BC6" w:rsidRPr="00932142">
        <w:rPr>
          <w:rFonts w:ascii="Times New Roman" w:hAnsi="Times New Roman" w:cs="Times New Roman"/>
          <w:sz w:val="24"/>
          <w:szCs w:val="24"/>
        </w:rPr>
        <w:t>profesijas, kompiute</w:t>
      </w:r>
      <w:r w:rsidR="002C5BFC">
        <w:rPr>
          <w:rFonts w:ascii="Times New Roman" w:hAnsi="Times New Roman" w:cs="Times New Roman"/>
          <w:sz w:val="24"/>
          <w:szCs w:val="24"/>
        </w:rPr>
        <w:t>riai, kurių pagalba mokinai gali ieškoti informacijos apie įvairias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specialybes, mokymosi programas bei sąlygas.</w:t>
      </w:r>
      <w:proofErr w:type="gramEnd"/>
    </w:p>
    <w:p w:rsidR="00375BC6" w:rsidRPr="00932142" w:rsidRDefault="00D226EC" w:rsidP="00962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2014–2015</w:t>
      </w:r>
      <w:r w:rsidR="002C5BFC">
        <w:rPr>
          <w:rFonts w:ascii="Times New Roman" w:hAnsi="Times New Roman" w:cs="Times New Roman"/>
          <w:sz w:val="24"/>
          <w:szCs w:val="24"/>
        </w:rPr>
        <w:t xml:space="preserve"> m. m. ir toliau </w:t>
      </w:r>
      <w:r w:rsidR="009625ED">
        <w:rPr>
          <w:rFonts w:ascii="Times New Roman" w:hAnsi="Times New Roman" w:cs="Times New Roman"/>
          <w:sz w:val="24"/>
          <w:szCs w:val="24"/>
        </w:rPr>
        <w:t>b</w:t>
      </w:r>
      <w:r w:rsidR="002C5BFC">
        <w:rPr>
          <w:rFonts w:ascii="Times New Roman" w:hAnsi="Times New Roman" w:cs="Times New Roman"/>
          <w:sz w:val="24"/>
          <w:szCs w:val="24"/>
        </w:rPr>
        <w:t xml:space="preserve">us vykdomos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prevencijos </w:t>
      </w:r>
      <w:r w:rsidR="002C5BFC">
        <w:rPr>
          <w:rFonts w:ascii="Times New Roman" w:hAnsi="Times New Roman" w:cs="Times New Roman"/>
          <w:sz w:val="24"/>
          <w:szCs w:val="24"/>
        </w:rPr>
        <w:t xml:space="preserve">priemonių </w:t>
      </w:r>
      <w:r w:rsidR="00375BC6" w:rsidRPr="00932142">
        <w:rPr>
          <w:rFonts w:ascii="Times New Roman" w:hAnsi="Times New Roman" w:cs="Times New Roman"/>
          <w:sz w:val="24"/>
          <w:szCs w:val="24"/>
        </w:rPr>
        <w:t>programos, aktyvinamas mokyklos bendruomenės narių dalyvavimas įvairiuose prevenciniuose renginiuose, kuriama saugi ir palanki vaiko ugdymuisi aplinka, pageidaujamas elgesys.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Mokykloje </w:t>
      </w:r>
      <w:r w:rsidR="00375BC6" w:rsidRPr="00932142">
        <w:rPr>
          <w:rFonts w:ascii="Times New Roman" w:hAnsi="Times New Roman" w:cs="Times New Roman"/>
          <w:sz w:val="24"/>
          <w:szCs w:val="24"/>
        </w:rPr>
        <w:t>nuola</w:t>
      </w:r>
      <w:r w:rsidR="002C5BFC">
        <w:rPr>
          <w:rFonts w:ascii="Times New Roman" w:hAnsi="Times New Roman" w:cs="Times New Roman"/>
          <w:sz w:val="24"/>
          <w:szCs w:val="24"/>
        </w:rPr>
        <w:t>t stiprinamas savivaldos institucijų vaidmuo.</w:t>
      </w:r>
      <w:proofErr w:type="gramEnd"/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5BFC">
        <w:rPr>
          <w:rFonts w:ascii="Times New Roman" w:hAnsi="Times New Roman" w:cs="Times New Roman"/>
          <w:sz w:val="24"/>
          <w:szCs w:val="24"/>
        </w:rPr>
        <w:t xml:space="preserve">Veiksmingai 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praėjusiais </w:t>
      </w:r>
      <w:r w:rsidR="002C5BFC">
        <w:rPr>
          <w:rFonts w:ascii="Times New Roman" w:hAnsi="Times New Roman" w:cs="Times New Roman"/>
          <w:sz w:val="24"/>
          <w:szCs w:val="24"/>
        </w:rPr>
        <w:t xml:space="preserve">mokslo </w:t>
      </w:r>
      <w:r w:rsidR="0008053F">
        <w:rPr>
          <w:rFonts w:ascii="Times New Roman" w:hAnsi="Times New Roman" w:cs="Times New Roman"/>
          <w:sz w:val="24"/>
          <w:szCs w:val="24"/>
        </w:rPr>
        <w:t xml:space="preserve">metais </w:t>
      </w:r>
      <w:r w:rsidR="009625ED">
        <w:rPr>
          <w:rFonts w:ascii="Times New Roman" w:hAnsi="Times New Roman" w:cs="Times New Roman"/>
          <w:sz w:val="24"/>
          <w:szCs w:val="24"/>
        </w:rPr>
        <w:t>d</w:t>
      </w:r>
      <w:r w:rsidR="002C5BFC">
        <w:rPr>
          <w:rFonts w:ascii="Times New Roman" w:hAnsi="Times New Roman" w:cs="Times New Roman"/>
          <w:sz w:val="24"/>
          <w:szCs w:val="24"/>
        </w:rPr>
        <w:t xml:space="preserve">irbo </w:t>
      </w:r>
      <w:r w:rsidR="009625ED">
        <w:rPr>
          <w:rFonts w:ascii="Times New Roman" w:hAnsi="Times New Roman" w:cs="Times New Roman"/>
          <w:sz w:val="24"/>
          <w:szCs w:val="24"/>
        </w:rPr>
        <w:t>Gimnazijos</w:t>
      </w:r>
      <w:r w:rsidR="002C5BFC">
        <w:rPr>
          <w:rFonts w:ascii="Times New Roman" w:hAnsi="Times New Roman" w:cs="Times New Roman"/>
          <w:sz w:val="24"/>
          <w:szCs w:val="24"/>
        </w:rPr>
        <w:t xml:space="preserve"> </w:t>
      </w:r>
      <w:r w:rsidR="00375BC6">
        <w:rPr>
          <w:rFonts w:ascii="Times New Roman" w:hAnsi="Times New Roman" w:cs="Times New Roman"/>
          <w:sz w:val="24"/>
          <w:szCs w:val="24"/>
        </w:rPr>
        <w:t>taryba, tėvų komitetas, parlamentas</w:t>
      </w:r>
      <w:r w:rsidR="00BC39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2014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m. </w:t>
      </w:r>
      <w:r w:rsidR="002C5BFC">
        <w:rPr>
          <w:rFonts w:ascii="Times New Roman" w:hAnsi="Times New Roman" w:cs="Times New Roman"/>
          <w:sz w:val="24"/>
          <w:szCs w:val="24"/>
        </w:rPr>
        <w:t>lapkričio 3 – 8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dienomis mokykloje buvo vykdomas veiklos kokybės išorės vertinimas.</w:t>
      </w:r>
      <w:proofErr w:type="gramEnd"/>
      <w:r w:rsidR="00375BC6" w:rsidRPr="0093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932142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142">
        <w:rPr>
          <w:rFonts w:ascii="Times New Roman" w:hAnsi="Times New Roman" w:cs="Times New Roman"/>
          <w:sz w:val="24"/>
          <w:szCs w:val="24"/>
        </w:rPr>
        <w:t>Išorės vertintojų komanda nustatė šiuos stipriuosius ir tobulintinus veiklos aspektus:</w:t>
      </w:r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C8F">
        <w:rPr>
          <w:rFonts w:ascii="Times New Roman" w:hAnsi="Times New Roman" w:cs="Times New Roman"/>
          <w:b/>
          <w:sz w:val="24"/>
          <w:szCs w:val="24"/>
        </w:rPr>
        <w:lastRenderedPageBreak/>
        <w:t>Mokyklos stiprieji veiklos aspektai</w:t>
      </w:r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1.  Tradicijos ir ritualai (1.1.2.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2.  Gimnazijos tvarka (1.3.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3.  Mokyklos ryšiai (1.4.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4.  Klasės valdymas (2.2.3.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5.  Mokytojo ir mokinio dialogo kokybė (2.3.3.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6.  Mokinių laimėjimai olimpiadose, konkursuose, varžybose (3.2.2.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  <w:r w:rsidRPr="008D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7.  Bendroji rūpinimosi mokiniais politika (4.1.1.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8.  Socialinė pagalba (4.2.3.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9.  Personalo komplektavimas (5.4.1.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</w:p>
    <w:p w:rsidR="00375BC6" w:rsidRPr="008D4C8F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C8F">
        <w:rPr>
          <w:rFonts w:ascii="Times New Roman" w:hAnsi="Times New Roman" w:cs="Times New Roman"/>
          <w:sz w:val="24"/>
          <w:szCs w:val="24"/>
        </w:rPr>
        <w:t xml:space="preserve">10.  Lėšų pritraukimas (5.5.1. </w:t>
      </w:r>
      <w:proofErr w:type="gramStart"/>
      <w:r w:rsidRPr="008D4C8F">
        <w:rPr>
          <w:rFonts w:ascii="Times New Roman" w:hAnsi="Times New Roman" w:cs="Times New Roman"/>
          <w:sz w:val="24"/>
          <w:szCs w:val="24"/>
        </w:rPr>
        <w:t>– 3 lygis).</w:t>
      </w:r>
      <w:proofErr w:type="gramEnd"/>
      <w:r w:rsidRPr="008D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C6" w:rsidRPr="00932142" w:rsidRDefault="00375BC6" w:rsidP="00375B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2142">
        <w:rPr>
          <w:rFonts w:ascii="Times New Roman" w:hAnsi="Times New Roman" w:cs="Times New Roman"/>
          <w:b/>
          <w:sz w:val="24"/>
          <w:szCs w:val="24"/>
        </w:rPr>
        <w:t>Mokyklos tobulintini veiklos aspektai</w:t>
      </w:r>
    </w:p>
    <w:p w:rsidR="00375BC6" w:rsidRPr="004813AD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3AD">
        <w:rPr>
          <w:rFonts w:ascii="Times New Roman" w:hAnsi="Times New Roman" w:cs="Times New Roman"/>
          <w:sz w:val="24"/>
          <w:szCs w:val="24"/>
        </w:rPr>
        <w:t xml:space="preserve">1.  Ugdymo diferencijavimas atsižvelgiant į mokinių poreikius ir išmokimo stebėjimo </w:t>
      </w:r>
    </w:p>
    <w:p w:rsidR="00375BC6" w:rsidRPr="004813AD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AD">
        <w:rPr>
          <w:rFonts w:ascii="Times New Roman" w:hAnsi="Times New Roman" w:cs="Times New Roman"/>
          <w:sz w:val="24"/>
          <w:szCs w:val="24"/>
        </w:rPr>
        <w:t>rezultatus</w:t>
      </w:r>
      <w:proofErr w:type="gramEnd"/>
      <w:r w:rsidRPr="004813AD">
        <w:rPr>
          <w:rFonts w:ascii="Times New Roman" w:hAnsi="Times New Roman" w:cs="Times New Roman"/>
          <w:sz w:val="24"/>
          <w:szCs w:val="24"/>
        </w:rPr>
        <w:t xml:space="preserve"> (2.5.2., 2.3.4. </w:t>
      </w:r>
      <w:proofErr w:type="gramStart"/>
      <w:r w:rsidRPr="004813AD">
        <w:rPr>
          <w:rFonts w:ascii="Times New Roman" w:hAnsi="Times New Roman" w:cs="Times New Roman"/>
          <w:sz w:val="24"/>
          <w:szCs w:val="24"/>
        </w:rPr>
        <w:t>– 2 lygis).</w:t>
      </w:r>
      <w:proofErr w:type="gramEnd"/>
    </w:p>
    <w:p w:rsidR="00375BC6" w:rsidRPr="004813AD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3AD">
        <w:rPr>
          <w:rFonts w:ascii="Times New Roman" w:hAnsi="Times New Roman" w:cs="Times New Roman"/>
          <w:sz w:val="24"/>
          <w:szCs w:val="24"/>
        </w:rPr>
        <w:t xml:space="preserve">2.  Vertinimas kaip ugdymas (2.6.2. </w:t>
      </w:r>
      <w:proofErr w:type="gramStart"/>
      <w:r w:rsidRPr="004813AD">
        <w:rPr>
          <w:rFonts w:ascii="Times New Roman" w:hAnsi="Times New Roman" w:cs="Times New Roman"/>
          <w:sz w:val="24"/>
          <w:szCs w:val="24"/>
        </w:rPr>
        <w:t>– 2 lygis).</w:t>
      </w:r>
      <w:proofErr w:type="gramEnd"/>
    </w:p>
    <w:p w:rsidR="00375BC6" w:rsidRPr="004813AD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3AD">
        <w:rPr>
          <w:rFonts w:ascii="Times New Roman" w:hAnsi="Times New Roman" w:cs="Times New Roman"/>
          <w:sz w:val="24"/>
          <w:szCs w:val="24"/>
        </w:rPr>
        <w:t xml:space="preserve">3.  Gimnazijos įsivertinimo procesas (5.2.1. </w:t>
      </w:r>
      <w:proofErr w:type="gramStart"/>
      <w:r w:rsidRPr="004813AD">
        <w:rPr>
          <w:rFonts w:ascii="Times New Roman" w:hAnsi="Times New Roman" w:cs="Times New Roman"/>
          <w:sz w:val="24"/>
          <w:szCs w:val="24"/>
        </w:rPr>
        <w:t>– 2 lygis).</w:t>
      </w:r>
      <w:proofErr w:type="gramEnd"/>
    </w:p>
    <w:p w:rsidR="00375BC6" w:rsidRPr="004813AD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3AD">
        <w:rPr>
          <w:rFonts w:ascii="Times New Roman" w:hAnsi="Times New Roman" w:cs="Times New Roman"/>
          <w:sz w:val="24"/>
          <w:szCs w:val="24"/>
        </w:rPr>
        <w:t xml:space="preserve">4.  Valdymo demokratiškumas (5.3.1. </w:t>
      </w:r>
      <w:proofErr w:type="gramStart"/>
      <w:r w:rsidRPr="004813AD">
        <w:rPr>
          <w:rFonts w:ascii="Times New Roman" w:hAnsi="Times New Roman" w:cs="Times New Roman"/>
          <w:sz w:val="24"/>
          <w:szCs w:val="24"/>
        </w:rPr>
        <w:t>– 2 lygis).</w:t>
      </w:r>
      <w:proofErr w:type="gramEnd"/>
    </w:p>
    <w:p w:rsidR="00375BC6" w:rsidRDefault="00375BC6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3AD">
        <w:rPr>
          <w:rFonts w:ascii="Times New Roman" w:hAnsi="Times New Roman" w:cs="Times New Roman"/>
          <w:sz w:val="24"/>
          <w:szCs w:val="24"/>
        </w:rPr>
        <w:t xml:space="preserve">5.  Ugdymo proceso aprūpinimas moderniomis mokymo priemonėmis (5.5.2. </w:t>
      </w:r>
      <w:proofErr w:type="gramStart"/>
      <w:r w:rsidRPr="004813AD">
        <w:rPr>
          <w:rFonts w:ascii="Times New Roman" w:hAnsi="Times New Roman" w:cs="Times New Roman"/>
          <w:sz w:val="24"/>
          <w:szCs w:val="24"/>
        </w:rPr>
        <w:t>– 2 lygis).</w:t>
      </w:r>
      <w:proofErr w:type="gramEnd"/>
    </w:p>
    <w:p w:rsidR="00375BC6" w:rsidRPr="00932142" w:rsidRDefault="002C5BFC" w:rsidP="009625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naci</w:t>
      </w:r>
      <w:r>
        <w:rPr>
          <w:rFonts w:ascii="Times New Roman" w:hAnsi="Times New Roman" w:cs="Times New Roman"/>
          <w:sz w:val="24"/>
          <w:szCs w:val="24"/>
        </w:rPr>
        <w:t xml:space="preserve">onalinės </w:t>
      </w:r>
      <w:r w:rsidR="00375BC6" w:rsidRPr="00932142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>yklų vertinimo</w:t>
      </w:r>
      <w:r w:rsidR="00375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C6">
        <w:rPr>
          <w:rFonts w:ascii="Times New Roman" w:hAnsi="Times New Roman" w:cs="Times New Roman"/>
          <w:sz w:val="24"/>
          <w:szCs w:val="24"/>
        </w:rPr>
        <w:t>agentūros  2014</w:t>
      </w:r>
      <w:proofErr w:type="gramEnd"/>
      <w:r w:rsidR="00375BC6">
        <w:rPr>
          <w:rFonts w:ascii="Times New Roman" w:hAnsi="Times New Roman" w:cs="Times New Roman"/>
          <w:sz w:val="24"/>
          <w:szCs w:val="24"/>
        </w:rPr>
        <w:t>-12-21</w:t>
      </w:r>
      <w:r>
        <w:rPr>
          <w:rFonts w:ascii="Times New Roman" w:hAnsi="Times New Roman" w:cs="Times New Roman"/>
          <w:sz w:val="24"/>
          <w:szCs w:val="24"/>
        </w:rPr>
        <w:t xml:space="preserve">  pateikta </w:t>
      </w:r>
      <w:r w:rsidR="00375BC6" w:rsidRPr="00932142">
        <w:rPr>
          <w:rFonts w:ascii="Times New Roman" w:hAnsi="Times New Roman" w:cs="Times New Roman"/>
          <w:sz w:val="24"/>
          <w:szCs w:val="24"/>
        </w:rPr>
        <w:t>mokyklos</w:t>
      </w:r>
      <w:r w:rsidR="0096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išorės vertinimo </w:t>
      </w:r>
      <w:r w:rsidR="00375BC6" w:rsidRPr="00932142">
        <w:rPr>
          <w:rFonts w:ascii="Times New Roman" w:hAnsi="Times New Roman" w:cs="Times New Roman"/>
          <w:sz w:val="24"/>
          <w:szCs w:val="24"/>
        </w:rPr>
        <w:t>ataskaita,</w:t>
      </w:r>
      <w:r>
        <w:rPr>
          <w:rFonts w:ascii="Times New Roman" w:hAnsi="Times New Roman" w:cs="Times New Roman"/>
          <w:sz w:val="24"/>
          <w:szCs w:val="24"/>
        </w:rPr>
        <w:t xml:space="preserve"> parengtas mokyklos veiklos tobulinimo veiksmų planas </w:t>
      </w:r>
      <w:r w:rsidR="00375BC6" w:rsidRPr="00932142">
        <w:rPr>
          <w:rFonts w:ascii="Times New Roman" w:hAnsi="Times New Roman" w:cs="Times New Roman"/>
          <w:sz w:val="24"/>
          <w:szCs w:val="24"/>
        </w:rPr>
        <w:t>2013–2017</w:t>
      </w:r>
      <w:r w:rsidR="009625ED">
        <w:rPr>
          <w:rFonts w:ascii="Times New Roman" w:hAnsi="Times New Roman" w:cs="Times New Roman"/>
          <w:sz w:val="24"/>
          <w:szCs w:val="24"/>
        </w:rPr>
        <w:t xml:space="preserve"> </w:t>
      </w:r>
      <w:r w:rsidR="00375BC6" w:rsidRPr="00932142">
        <w:rPr>
          <w:rFonts w:ascii="Times New Roman" w:hAnsi="Times New Roman" w:cs="Times New Roman"/>
          <w:sz w:val="24"/>
          <w:szCs w:val="24"/>
        </w:rPr>
        <w:t>metams.</w:t>
      </w:r>
    </w:p>
    <w:p w:rsidR="00375BC6" w:rsidRDefault="002C5BFC" w:rsidP="009625E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Remiantis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išorės ver</w:t>
      </w:r>
      <w:r w:rsidR="00375BC6">
        <w:rPr>
          <w:rFonts w:ascii="Times New Roman" w:hAnsi="Times New Roman" w:cs="Times New Roman"/>
          <w:sz w:val="24"/>
          <w:szCs w:val="24"/>
        </w:rPr>
        <w:t xml:space="preserve">tinimo </w:t>
      </w:r>
      <w:r w:rsidR="0008053F">
        <w:rPr>
          <w:rFonts w:ascii="Times New Roman" w:hAnsi="Times New Roman" w:cs="Times New Roman"/>
          <w:sz w:val="24"/>
          <w:szCs w:val="24"/>
        </w:rPr>
        <w:t>išvadomis bei pasiūlymais,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išskirti svarbiausi veiklos privalumai, trūkumai bei prioritetai, numatyti mokyklos veiklos tikslai ir uždaviniai </w:t>
      </w:r>
      <w:r w:rsidR="00375BC6">
        <w:rPr>
          <w:rFonts w:ascii="Times New Roman" w:hAnsi="Times New Roman" w:cs="Times New Roman"/>
          <w:sz w:val="24"/>
          <w:szCs w:val="24"/>
        </w:rPr>
        <w:t>2015–2016</w:t>
      </w:r>
      <w:r w:rsidR="00375BC6" w:rsidRPr="00932142">
        <w:rPr>
          <w:rFonts w:ascii="Times New Roman" w:hAnsi="Times New Roman" w:cs="Times New Roman"/>
          <w:sz w:val="24"/>
          <w:szCs w:val="24"/>
        </w:rPr>
        <w:t xml:space="preserve"> mokslo metams.</w:t>
      </w:r>
      <w:proofErr w:type="gramEnd"/>
    </w:p>
    <w:p w:rsidR="005F7BBB" w:rsidRDefault="005F7BBB" w:rsidP="00375B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11"/>
        <w:gridCol w:w="3827"/>
        <w:gridCol w:w="2672"/>
      </w:tblGrid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932142" w:rsidRDefault="00375BC6" w:rsidP="00AA3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Privalumai</w:t>
            </w:r>
          </w:p>
        </w:tc>
        <w:tc>
          <w:tcPr>
            <w:tcW w:w="3827" w:type="dxa"/>
          </w:tcPr>
          <w:p w:rsidR="00375BC6" w:rsidRPr="00932142" w:rsidRDefault="00375BC6" w:rsidP="00AA3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Trūkumai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42">
              <w:rPr>
                <w:rFonts w:ascii="Times New Roman" w:hAnsi="Times New Roman" w:cs="Times New Roman"/>
                <w:sz w:val="24"/>
                <w:szCs w:val="24"/>
              </w:rPr>
              <w:t>Prioritetai</w:t>
            </w:r>
          </w:p>
        </w:tc>
      </w:tr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133C73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1.1.2. Tradicijos ir ritualai.</w:t>
            </w:r>
          </w:p>
        </w:tc>
        <w:tc>
          <w:tcPr>
            <w:tcW w:w="3827" w:type="dxa"/>
          </w:tcPr>
          <w:p w:rsidR="00375BC6" w:rsidRPr="004813AD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 xml:space="preserve"> Ugdymo diferencijavimas atsižvelgiant į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poreikius ir išmokimo stebėjimo rezultataus.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2.5.2.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 xml:space="preserve"> Ugdymo diferencijavimas atsižvelgiant į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poreikius ir išmokimo stebėjimo rezultataus.</w:t>
            </w:r>
          </w:p>
        </w:tc>
      </w:tr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133C73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Mokyklos ryšiai.</w:t>
            </w:r>
          </w:p>
        </w:tc>
        <w:tc>
          <w:tcPr>
            <w:tcW w:w="3827" w:type="dxa"/>
          </w:tcPr>
          <w:p w:rsidR="00375BC6" w:rsidRPr="004813AD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>Vertinimas kaip ugdymas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 xml:space="preserve">.6.3. Vertinimas kaip informavimas  </w:t>
            </w:r>
          </w:p>
        </w:tc>
      </w:tr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133C73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Mokytojo ir mokinio dialogo kokybė.</w:t>
            </w:r>
          </w:p>
        </w:tc>
        <w:tc>
          <w:tcPr>
            <w:tcW w:w="3827" w:type="dxa"/>
          </w:tcPr>
          <w:p w:rsidR="00375BC6" w:rsidRPr="004813AD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>Gimnazijos įsivertinimo procesas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133C73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73">
              <w:rPr>
                <w:rFonts w:ascii="Times New Roman" w:hAnsi="Times New Roman" w:cs="Times New Roman"/>
                <w:sz w:val="24"/>
                <w:szCs w:val="24"/>
              </w:rPr>
              <w:t xml:space="preserve">Mokinių laimėjimai olimpiadose, konkursuose, </w:t>
            </w:r>
            <w:r w:rsidRPr="0013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varžybose.</w:t>
            </w:r>
          </w:p>
        </w:tc>
        <w:tc>
          <w:tcPr>
            <w:tcW w:w="3827" w:type="dxa"/>
          </w:tcPr>
          <w:p w:rsidR="00375BC6" w:rsidRPr="004813AD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5.3.1. 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>Valdymo demokratiškumas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C6" w:rsidRPr="00932142" w:rsidTr="009625ED">
        <w:trPr>
          <w:jc w:val="center"/>
        </w:trPr>
        <w:tc>
          <w:tcPr>
            <w:tcW w:w="3611" w:type="dxa"/>
          </w:tcPr>
          <w:p w:rsidR="00375BC6" w:rsidRPr="00133C73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 Bendroji rūpinimosi mokiniais politika.</w:t>
            </w:r>
          </w:p>
        </w:tc>
        <w:tc>
          <w:tcPr>
            <w:tcW w:w="3827" w:type="dxa"/>
          </w:tcPr>
          <w:p w:rsidR="00375BC6" w:rsidRPr="004813AD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  <w:r w:rsidRPr="004813AD">
              <w:rPr>
                <w:rFonts w:ascii="Times New Roman" w:hAnsi="Times New Roman" w:cs="Times New Roman"/>
                <w:sz w:val="24"/>
                <w:szCs w:val="24"/>
              </w:rPr>
              <w:t>Ugdymo proceso aprūpinimas moderniomis mokymo priemonėmis</w:t>
            </w:r>
          </w:p>
        </w:tc>
        <w:tc>
          <w:tcPr>
            <w:tcW w:w="2672" w:type="dxa"/>
          </w:tcPr>
          <w:p w:rsidR="00375BC6" w:rsidRPr="00932142" w:rsidRDefault="00375BC6" w:rsidP="00AA3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BC6" w:rsidRDefault="00375BC6" w:rsidP="00375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C6" w:rsidRPr="00932142" w:rsidRDefault="003314FD" w:rsidP="00375B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75BC6">
        <w:rPr>
          <w:rFonts w:ascii="Times New Roman" w:hAnsi="Times New Roman" w:cs="Times New Roman"/>
          <w:b/>
          <w:sz w:val="24"/>
          <w:szCs w:val="24"/>
        </w:rPr>
        <w:t>JIEZNO GIMNAZIJOS</w:t>
      </w:r>
      <w:r w:rsidR="00375BC6" w:rsidRPr="00932142">
        <w:rPr>
          <w:rFonts w:ascii="Times New Roman" w:hAnsi="Times New Roman" w:cs="Times New Roman"/>
          <w:b/>
          <w:sz w:val="24"/>
          <w:szCs w:val="24"/>
        </w:rPr>
        <w:t xml:space="preserve"> VEIKLOS </w:t>
      </w:r>
      <w:r w:rsidR="00FA2262">
        <w:rPr>
          <w:rFonts w:ascii="Times New Roman" w:hAnsi="Times New Roman" w:cs="Times New Roman"/>
          <w:b/>
          <w:sz w:val="24"/>
          <w:szCs w:val="24"/>
        </w:rPr>
        <w:t xml:space="preserve">PLANO </w:t>
      </w:r>
      <w:r w:rsidR="00375BC6" w:rsidRPr="00932142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375BC6" w:rsidRDefault="00375BC6" w:rsidP="005F7B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2015–2016 </w:t>
      </w:r>
      <w:r w:rsidRPr="00932142">
        <w:rPr>
          <w:rFonts w:ascii="Times New Roman" w:hAnsi="Times New Roman" w:cs="Times New Roman"/>
          <w:b/>
          <w:sz w:val="24"/>
          <w:szCs w:val="24"/>
        </w:rPr>
        <w:t>MOKSLO METAMS</w:t>
      </w:r>
    </w:p>
    <w:p w:rsidR="00B745CA" w:rsidRPr="00932142" w:rsidRDefault="00B745CA" w:rsidP="005F7B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C6" w:rsidRPr="002E41D6" w:rsidRDefault="00375BC6" w:rsidP="005F7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2142">
        <w:rPr>
          <w:rFonts w:ascii="Times New Roman" w:hAnsi="Times New Roman" w:cs="Times New Roman"/>
          <w:sz w:val="24"/>
          <w:szCs w:val="24"/>
        </w:rPr>
        <w:t xml:space="preserve">1. </w:t>
      </w:r>
      <w:r w:rsidR="005F7BBB">
        <w:rPr>
          <w:rFonts w:ascii="Times New Roman" w:hAnsi="Times New Roman" w:cs="Times New Roman"/>
          <w:b/>
          <w:sz w:val="24"/>
          <w:szCs w:val="24"/>
        </w:rPr>
        <w:t>Siekiant</w:t>
      </w:r>
      <w:r w:rsidRPr="002E41D6">
        <w:rPr>
          <w:rFonts w:ascii="Times New Roman" w:hAnsi="Times New Roman" w:cs="Times New Roman"/>
          <w:b/>
          <w:sz w:val="24"/>
          <w:szCs w:val="24"/>
        </w:rPr>
        <w:t xml:space="preserve"> mokini</w:t>
      </w:r>
      <w:r w:rsidRPr="002E41D6">
        <w:rPr>
          <w:rFonts w:ascii="Times New Roman" w:hAnsi="Times New Roman" w:cs="Times New Roman"/>
          <w:b/>
          <w:sz w:val="24"/>
          <w:szCs w:val="24"/>
          <w:lang w:val="lt-LT"/>
        </w:rPr>
        <w:t>ų asmeninės ir akademinės pažangos, s</w:t>
      </w:r>
      <w:r w:rsidR="005F7B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udaryti sąlygas saviraiškai ir </w:t>
      </w:r>
      <w:r w:rsidRPr="002E41D6">
        <w:rPr>
          <w:rFonts w:ascii="Times New Roman" w:hAnsi="Times New Roman" w:cs="Times New Roman"/>
          <w:b/>
          <w:sz w:val="24"/>
          <w:szCs w:val="24"/>
          <w:lang w:val="lt-LT"/>
        </w:rPr>
        <w:t>tobulėjimui.</w:t>
      </w:r>
    </w:p>
    <w:p w:rsidR="00375BC6" w:rsidRDefault="00375BC6" w:rsidP="009625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1.1. Siekti individualios mokinio pažangos ir objektyvaus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įsivertinimo.</w:t>
      </w:r>
    </w:p>
    <w:p w:rsidR="00375BC6" w:rsidRDefault="00375BC6" w:rsidP="009625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1.2. Diferencijuoti mokini</w:t>
      </w:r>
      <w:r>
        <w:rPr>
          <w:rFonts w:ascii="Times New Roman" w:hAnsi="Times New Roman" w:cs="Times New Roman"/>
          <w:sz w:val="24"/>
          <w:szCs w:val="24"/>
          <w:lang w:val="lt-LT"/>
        </w:rPr>
        <w:t>ų veiklą pagal individualius gebėjimus, pasiekimų lygius, mokymosi stilių.</w:t>
      </w:r>
    </w:p>
    <w:p w:rsidR="00375BC6" w:rsidRPr="00D77171" w:rsidRDefault="005F7BBB" w:rsidP="005F7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771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="00375BC6" w:rsidRPr="00D77171">
        <w:rPr>
          <w:rFonts w:ascii="Times New Roman" w:hAnsi="Times New Roman" w:cs="Times New Roman"/>
          <w:b/>
          <w:sz w:val="24"/>
          <w:szCs w:val="24"/>
          <w:lang w:val="lt-LT"/>
        </w:rPr>
        <w:t>Kuriant aplinką, skatinančią kūrybiškumą ir lyderystę, formuoti saugią, tolerantišką ir veiklią gimnazijos bendruomenę.</w:t>
      </w:r>
    </w:p>
    <w:p w:rsidR="00375BC6" w:rsidRDefault="009625ED" w:rsidP="009625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75BC6">
        <w:rPr>
          <w:rFonts w:ascii="Times New Roman" w:hAnsi="Times New Roman" w:cs="Times New Roman"/>
          <w:sz w:val="24"/>
          <w:szCs w:val="24"/>
        </w:rPr>
        <w:t xml:space="preserve">2.1. </w:t>
      </w:r>
      <w:r w:rsidR="00375BC6">
        <w:rPr>
          <w:rFonts w:ascii="Times New Roman" w:hAnsi="Times New Roman" w:cs="Times New Roman"/>
          <w:sz w:val="24"/>
          <w:szCs w:val="24"/>
          <w:lang w:val="lt-LT"/>
        </w:rPr>
        <w:t>Įtraukti savivaldos institucijas į gimnazijos veiklą.</w:t>
      </w:r>
    </w:p>
    <w:p w:rsidR="00375BC6" w:rsidRDefault="00375BC6" w:rsidP="009625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Ugdyti  bendravimo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</w:t>
      </w:r>
      <w:r>
        <w:rPr>
          <w:rFonts w:ascii="Times New Roman" w:hAnsi="Times New Roman" w:cs="Times New Roman"/>
          <w:sz w:val="24"/>
          <w:szCs w:val="24"/>
          <w:lang w:val="lt-LT"/>
        </w:rPr>
        <w:t>ūrą ir toleranciją.</w:t>
      </w:r>
    </w:p>
    <w:p w:rsidR="003314FD" w:rsidRDefault="003314FD" w:rsidP="005F7BBB">
      <w:pPr>
        <w:autoSpaceDE w:val="0"/>
        <w:autoSpaceDN w:val="0"/>
        <w:adjustRightInd w:val="0"/>
        <w:spacing w:after="0" w:line="360" w:lineRule="auto"/>
        <w:ind w:left="1470"/>
        <w:rPr>
          <w:rFonts w:ascii="Times New Roman" w:hAnsi="Times New Roman" w:cs="Times New Roman"/>
          <w:sz w:val="24"/>
          <w:szCs w:val="24"/>
          <w:lang w:val="lt-LT"/>
        </w:rPr>
      </w:pPr>
    </w:p>
    <w:p w:rsidR="00D77171" w:rsidRDefault="00D7717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D77171" w:rsidRDefault="00D77171" w:rsidP="005F7BBB">
      <w:pPr>
        <w:autoSpaceDE w:val="0"/>
        <w:autoSpaceDN w:val="0"/>
        <w:adjustRightInd w:val="0"/>
        <w:spacing w:after="0" w:line="360" w:lineRule="auto"/>
        <w:ind w:left="1470"/>
        <w:rPr>
          <w:rFonts w:ascii="Times New Roman" w:hAnsi="Times New Roman" w:cs="Times New Roman"/>
          <w:b/>
          <w:sz w:val="24"/>
          <w:szCs w:val="24"/>
          <w:lang w:val="lt-LT"/>
        </w:rPr>
        <w:sectPr w:rsidR="00D77171" w:rsidSect="000F1045">
          <w:footerReference w:type="default" r:id="rId9"/>
          <w:pgSz w:w="12240" w:h="15840"/>
          <w:pgMar w:top="851" w:right="5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743" w:tblpY="12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689"/>
        <w:gridCol w:w="3467"/>
        <w:gridCol w:w="1843"/>
        <w:gridCol w:w="1276"/>
        <w:gridCol w:w="1701"/>
        <w:gridCol w:w="2551"/>
      </w:tblGrid>
      <w:tr w:rsidR="00D77171" w:rsidRPr="0067008C" w:rsidTr="009625ED">
        <w:tc>
          <w:tcPr>
            <w:tcW w:w="14283" w:type="dxa"/>
            <w:gridSpan w:val="7"/>
            <w:tcBorders>
              <w:top w:val="nil"/>
              <w:left w:val="nil"/>
              <w:right w:val="nil"/>
            </w:tcBorders>
          </w:tcPr>
          <w:p w:rsidR="00D77171" w:rsidRDefault="00D77171" w:rsidP="009625ED">
            <w:pPr>
              <w:autoSpaceDE w:val="0"/>
              <w:autoSpaceDN w:val="0"/>
              <w:adjustRightInd w:val="0"/>
              <w:spacing w:after="0" w:line="360" w:lineRule="auto"/>
              <w:ind w:left="147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VI. </w:t>
            </w:r>
            <w:r w:rsidRPr="003314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VEIKLA:</w:t>
            </w:r>
          </w:p>
          <w:p w:rsidR="00D77171" w:rsidRPr="0067008C" w:rsidRDefault="00D77171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67008C" w:rsidTr="009625ED"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Numatomas rezultatas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Atsakingi vykdytojai, partneriai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Refleksija</w:t>
            </w:r>
          </w:p>
        </w:tc>
      </w:tr>
      <w:tr w:rsidR="003314FD" w:rsidRPr="0067008C" w:rsidTr="009625ED"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pStyle w:val="ListParagraph"/>
              <w:spacing w:after="0" w:line="240" w:lineRule="auto"/>
              <w:ind w:left="-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Mokinių pažangos vertinimo tvarkos tobulinimas</w:t>
            </w:r>
          </w:p>
          <w:p w:rsidR="003314FD" w:rsidRPr="0067008C" w:rsidRDefault="003314FD" w:rsidP="009625ED">
            <w:pPr>
              <w:spacing w:after="0" w:line="240" w:lineRule="auto"/>
              <w:ind w:left="131" w:firstLine="58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  <w:shd w:val="clear" w:color="auto" w:fill="auto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717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 savo dėstomo dalyko vertinimo sistemą, derins su nauja „Mokinių pažangos ir pasiekimų vertinimo sistema“,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nuosekliai naudosis tvarka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Pavad. ugdymui, dalykų mokytojai, klasių vadovai ir pagalbos mokiniui specialistai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Rugpjūčio  mėn.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Metodinėse grupėse, metodinėje taryboje, mokytojų tarybos posėdyje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150"/>
        </w:trPr>
        <w:tc>
          <w:tcPr>
            <w:tcW w:w="75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1.1.2.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Mokinių asmeninės pažangos  stebėjimo, fiksavimo, rezultatų analizavimo, panaudojimo tvarka</w:t>
            </w:r>
          </w:p>
          <w:p w:rsidR="003314FD" w:rsidRPr="0067008C" w:rsidRDefault="003314FD" w:rsidP="009625ED">
            <w:pPr>
              <w:spacing w:after="0" w:line="240" w:lineRule="auto"/>
              <w:ind w:left="131" w:firstLine="589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Kiekvieno mokinio  pasiekimai  bus fiksuojami asmeninės pažangos stebėjimo  lape ir mėnesio pabaigo</w:t>
            </w:r>
            <w:r w:rsidR="009625ED">
              <w:rPr>
                <w:rFonts w:ascii="Times New Roman" w:hAnsi="Times New Roman"/>
                <w:sz w:val="24"/>
                <w:szCs w:val="24"/>
                <w:lang w:val="lt-LT"/>
              </w:rPr>
              <w:t>je aptariami su dalyko mokytoju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Pavad. ugdymui, dalykų mokytojai, pagalbos mokiniui specialistai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krepšelio lėšos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Spalis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Metodinėse grupėse, metodinėje taryboje, mokytojų tarybos posėdyje, tėvų susirinkime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135"/>
        </w:trPr>
        <w:tc>
          <w:tcPr>
            <w:tcW w:w="75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Diskusija prie apvalaus stalo - Penktokų adaptacijos aptarimas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Psichologė pristatys penktokų adaptacijos tyrimo rezultatus tėvams ir mokytojams. Tėvai ir mokytojai gaus papildomos informacijos apie vaiko emocinę būseną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Psichologė, mokytojai, klasių vadovai, administracija, spec. pedagogė, socialinė pedagogė, tėvų komitetas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krepšelio lėšos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Aptarimas klasės tėvų susirinkime, VGK, mokytojų tarybos posėdyje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67008C" w:rsidTr="009625ED">
        <w:trPr>
          <w:trHeight w:val="120"/>
        </w:trPr>
        <w:tc>
          <w:tcPr>
            <w:tcW w:w="756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1.2.1.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Mokinių konsultavimas, speciali pagalba ir individualių planų sudarymas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40 % mokinių lankys konsultacijas.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Mokytojai nuolat koreguos individualius mokinių planus pagal pažangos fiksavimo lapus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Dalykų mokytojai, klasių vadovai, administracija, spec. pedagogė, psichologė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Per visus metus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Metodinėse grupėse, metodinėje taryboje, mokytojų tarybos posėdyje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135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1.2.2.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Standartizuotų testų ir PUPP rezultatų kokybinė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analizė ir priemonės jiems gerinti</w:t>
            </w:r>
          </w:p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Įsivertinami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atskirų dalykų rezultatai, skiriami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tarpiniai standartizuotų testų ir PUP patikrinimai. Rezultatai aptariami su </w:t>
            </w:r>
            <w:r w:rsidR="009625ED">
              <w:rPr>
                <w:rFonts w:ascii="Times New Roman" w:hAnsi="Times New Roman"/>
                <w:sz w:val="24"/>
                <w:szCs w:val="24"/>
                <w:lang w:val="lt-LT"/>
              </w:rPr>
              <w:t>tėvais, mokiniais ir mokytojais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Pavaduotoja ugdymui, dalykų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Spalis, lapkritis,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gegužė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Metodinėse grupėse, metodinėje taryboje,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mokytojų tarybos posėdyje, tėvų susirinkime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90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1.2.3.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VGK veikla ugdant mokinius pagal pritaikytas ir individualizuotas programas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Spec. pedagogė pateikia dalykų mokytojams rekomendacijas apie kiekvieną spec. poreikių mokinį ir konsultuoja mokytojus s</w:t>
            </w:r>
            <w:r w:rsidR="009625ED">
              <w:rPr>
                <w:rFonts w:ascii="Times New Roman" w:hAnsi="Times New Roman"/>
                <w:sz w:val="24"/>
                <w:szCs w:val="24"/>
                <w:lang w:val="lt-LT"/>
              </w:rPr>
              <w:t>udarant individualias programas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Spec. pedagogė, dalykų mokytojai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VGK posėdžiuose, metodinėse grupėse, metodinėje taryboje, mokytojų tarybos posėdyje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120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1.2.4.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Gabiųjų mokinių tarpusavio pagalba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717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20% gabiųjų mokinių bus įtraukti į aktyvų mokymą(si): stipresnieji išnaudojami kaip mokytojo pagalbininkai, grupių ekspertai, moderatoriai, teikiantys pagalbą silpniau besimokantiems 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</w:t>
            </w: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Mokslo metai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Metodinėje grupėje, metodinėje taryboje, mokytojų tarybos posėdyje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314FD" w:rsidRPr="00D77171" w:rsidTr="009625ED">
        <w:trPr>
          <w:trHeight w:val="105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1.2.5.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Integruotos edukacinės veiklos netradicinėje aplinkoje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Mokytojai metodininkai ves ne mažiau kaip  2 pamokas , o vyr. mokytojai ne mažiau 1 </w:t>
            </w:r>
            <w:r w:rsidR="009625ED">
              <w:rPr>
                <w:rFonts w:ascii="Times New Roman" w:hAnsi="Times New Roman"/>
                <w:sz w:val="24"/>
                <w:szCs w:val="24"/>
                <w:lang w:val="lt-LT"/>
              </w:rPr>
              <w:t>pamoką  netradicinėje aplinkoje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Dalykų mokytojai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Mokslo metai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Metodinėje grupėje, metodinėje taryboje, mokytojų tarybos posėdyje</w:t>
            </w:r>
          </w:p>
        </w:tc>
      </w:tr>
      <w:tr w:rsidR="003314FD" w:rsidRPr="0067008C" w:rsidTr="009625ED">
        <w:trPr>
          <w:trHeight w:val="1410"/>
        </w:trPr>
        <w:tc>
          <w:tcPr>
            <w:tcW w:w="75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1.2.6.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Projektas 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,,Sėkmės klasė ‘‘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Bent 10% pagerės lankomumas ir 3% pažangumas. 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Bus išrinkta sėkmingiausia klasė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Mokinių parlamentas, klasių vadovai, mokyklos administracija, dalykų mokytojai, gimnazijos taryba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rėmėjai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 gruodis- 2016 gegužė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puslapyje, metodinėse grupėse, metodinėje taryboje, mokytojų tarybos posėdyje</w:t>
            </w:r>
          </w:p>
        </w:tc>
      </w:tr>
      <w:tr w:rsidR="003314FD" w:rsidRPr="0067008C" w:rsidTr="009625ED">
        <w:trPr>
          <w:trHeight w:val="16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1.2.7.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Mokytojų tarpusavio pamokų stebėjimas, kurio tikslas – diferencijavimas ir individualizavimas pamokoje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85% mokytojų aplankys per metus bent po dvi kolegų pamokas. Padidės mokytojų kompetencija  kaip diferencijuoti ir individualizuoti ugdymo veiklą pamokoje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Mokyklos administracija, mokytojai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 lapkritis, gruodis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Mokytojų tarybos posėdyje</w:t>
            </w:r>
          </w:p>
        </w:tc>
      </w:tr>
      <w:tr w:rsidR="003314FD" w:rsidRPr="00D77171" w:rsidTr="009625ED">
        <w:trPr>
          <w:trHeight w:val="150"/>
        </w:trPr>
        <w:tc>
          <w:tcPr>
            <w:tcW w:w="75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1.2.8.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Namų darbų diferencijavimas  pagal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mokinių gebėjimus ir pasiekimus kiekvienoje pamokoje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717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Mokytojai daugiau kaip 50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% mokinių skirs kūrybines, kritinį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mąstymą ugdančias ar padedančias stiprinti savigarbą bei šalinti mokymo(si) spragas užduotis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 Dalykų mokytojai,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pavaduotoja ugdymui, klasių auklėtojai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Intelektualiniai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2015-2016 m.m.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Metodinėse grupėse, metodinėje taryboje, 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mokytojų tarybos posėdyje,tėvų susirinkime</w:t>
            </w:r>
          </w:p>
        </w:tc>
      </w:tr>
      <w:tr w:rsidR="003314FD" w:rsidRPr="0067008C" w:rsidTr="009625ED">
        <w:trPr>
          <w:trHeight w:val="105"/>
        </w:trPr>
        <w:tc>
          <w:tcPr>
            <w:tcW w:w="756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2.1.1.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Diskusija ,,Savivaldos institucijų veiklos dermė”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Gimnazijos taryba, tėvų komitetas ir mokinių parlamentas planuos ir vykdys bendrą veiklą mokykloje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Savivaldos institucijos, Prienų ,,Žiburio” gimnazija ir kiti socialiniai partneriai, gimnazijos taryba, tėvų komitetas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rėmėjai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 lapkritis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puslapyje, savivaldos institucijose</w:t>
            </w:r>
          </w:p>
        </w:tc>
      </w:tr>
      <w:tr w:rsidR="003314FD" w:rsidRPr="0067008C" w:rsidTr="009625ED">
        <w:trPr>
          <w:trHeight w:val="90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2.1.2.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,,Lyderių laikas 2” veiklos tęstinumas 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Kartą per 3 mėn. vyks susitikimas su projekte        dalyvaujančia mokykla. Bus organizuojama metodinių darbų paroda, atviros pamokos, renginiai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Administracija, mokytojai, savivaldos institucijos ir socialiniai partneriai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rėmėjai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2015-2016 m.m.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puslapyje, savivaldos institucijose, mokytojų tarybos posėdyje</w:t>
            </w:r>
          </w:p>
        </w:tc>
      </w:tr>
      <w:tr w:rsidR="003314FD" w:rsidRPr="0067008C" w:rsidTr="009625ED">
        <w:trPr>
          <w:trHeight w:val="135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2.1.3.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Projektų  mokykloje rengimas ir dalyvavimas  šalies bei tarptautiniuose projektuose </w:t>
            </w: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Bent </w:t>
            </w:r>
            <w:r w:rsidRPr="00D77171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% mokytojų rengs projektus mokykloje ir ieškos partnerių už mokyklos ribų, tęs veiklą projektuose ,,Erasmus+“, ,,Taiki mokykla“,  ,,Antras žingsnis“, ,,Lyderių laikas 2“, ,,Centropos“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Mokyklos administracija, dalykų mokytojai, socialinė pedagogė, psichologė, spec. pedagogė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projektų lėšos</w:t>
            </w: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2015- 2016 m.m.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</w:t>
            </w:r>
          </w:p>
        </w:tc>
      </w:tr>
      <w:tr w:rsidR="003314FD" w:rsidRPr="0067008C" w:rsidTr="009625ED">
        <w:trPr>
          <w:trHeight w:val="120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Bendra tikslinė veikla su socialiniais partneriais</w:t>
            </w: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Vyks bendri renginiai (valstybinės  šventės, atmintinos dienos, sporto renginiai, Derliaus šventė, Kaziuko mugė)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Mokyklos administracija, mokytojai, socialinis pedagogas, psichologas, mokinių parlamentas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projektų lėšos</w:t>
            </w: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2015- 2016 m.m.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</w:t>
            </w:r>
          </w:p>
        </w:tc>
      </w:tr>
      <w:tr w:rsidR="003314FD" w:rsidRPr="0067008C" w:rsidTr="009625ED">
        <w:trPr>
          <w:trHeight w:val="2259"/>
        </w:trPr>
        <w:tc>
          <w:tcPr>
            <w:tcW w:w="75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2.2.2.</w:t>
            </w:r>
          </w:p>
        </w:tc>
        <w:tc>
          <w:tcPr>
            <w:tcW w:w="2689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Gimnazijos projektai ,,Kalėdinė pamoka“, ,,Šeimų diena“</w:t>
            </w:r>
          </w:p>
        </w:tc>
        <w:tc>
          <w:tcPr>
            <w:tcW w:w="3467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Ne mažiau kaip 40%</w:t>
            </w:r>
          </w:p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tėvų dalyvaus projektų veikloje, stiprės tėvų, mokinių, mokytojų bendradarbiavimas. Bus puoselėjamos mokėjimo dalintis, tolerancijos, savigarbos vertybės</w:t>
            </w:r>
          </w:p>
        </w:tc>
        <w:tc>
          <w:tcPr>
            <w:tcW w:w="1843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Mokyklos administracija, mokytojai, socialinė pedagogas, psichologė, mokinių parlamentas, tėvų komitetas, gimnazijos taryba</w:t>
            </w:r>
          </w:p>
        </w:tc>
        <w:tc>
          <w:tcPr>
            <w:tcW w:w="1276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Intelektualiniai, krepšelio lėšos, projektų lėšos</w:t>
            </w:r>
          </w:p>
        </w:tc>
        <w:tc>
          <w:tcPr>
            <w:tcW w:w="170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2015-2016 m.m.</w:t>
            </w:r>
          </w:p>
        </w:tc>
        <w:tc>
          <w:tcPr>
            <w:tcW w:w="2551" w:type="dxa"/>
          </w:tcPr>
          <w:p w:rsidR="003314FD" w:rsidRPr="0067008C" w:rsidRDefault="003314FD" w:rsidP="0096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7008C">
              <w:rPr>
                <w:rFonts w:ascii="Times New Roman" w:hAnsi="Times New Roman"/>
                <w:sz w:val="24"/>
                <w:szCs w:val="24"/>
                <w:lang w:val="lt-LT"/>
              </w:rPr>
              <w:t>Sklaida spaudoje ir internetiniame puslapyje</w:t>
            </w:r>
          </w:p>
        </w:tc>
      </w:tr>
    </w:tbl>
    <w:p w:rsidR="009625ED" w:rsidRDefault="009625ED" w:rsidP="00D77171">
      <w:pPr>
        <w:tabs>
          <w:tab w:val="left" w:pos="720"/>
          <w:tab w:val="left" w:pos="198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065" w:rsidRPr="002D5065" w:rsidRDefault="002D5065" w:rsidP="00D77171">
      <w:pPr>
        <w:tabs>
          <w:tab w:val="left" w:pos="720"/>
          <w:tab w:val="left" w:pos="198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T A R T A</w:t>
      </w:r>
    </w:p>
    <w:p w:rsidR="002D5065" w:rsidRPr="002D5065" w:rsidRDefault="002D5065" w:rsidP="00D77171">
      <w:pPr>
        <w:tabs>
          <w:tab w:val="left" w:pos="3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65">
        <w:rPr>
          <w:rFonts w:ascii="Times New Roman" w:hAnsi="Times New Roman" w:cs="Times New Roman"/>
          <w:sz w:val="24"/>
          <w:szCs w:val="24"/>
        </w:rPr>
        <w:t>Mokytojų tarybos 2015 m. birželio 22 d.</w:t>
      </w:r>
      <w:proofErr w:type="gramEnd"/>
      <w:r w:rsidR="00D77171">
        <w:rPr>
          <w:rFonts w:ascii="Times New Roman" w:hAnsi="Times New Roman" w:cs="Times New Roman"/>
          <w:sz w:val="24"/>
          <w:szCs w:val="24"/>
        </w:rPr>
        <w:t xml:space="preserve"> </w:t>
      </w:r>
      <w:r w:rsidRPr="002D50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065">
        <w:rPr>
          <w:rFonts w:ascii="Times New Roman" w:hAnsi="Times New Roman" w:cs="Times New Roman"/>
          <w:sz w:val="24"/>
          <w:szCs w:val="24"/>
        </w:rPr>
        <w:t>po</w:t>
      </w:r>
      <w:r w:rsidR="001D35D2">
        <w:rPr>
          <w:rFonts w:ascii="Times New Roman" w:hAnsi="Times New Roman" w:cs="Times New Roman"/>
          <w:sz w:val="24"/>
          <w:szCs w:val="24"/>
        </w:rPr>
        <w:t>sėdžio</w:t>
      </w:r>
      <w:proofErr w:type="gramEnd"/>
      <w:r w:rsidR="001D35D2">
        <w:rPr>
          <w:rFonts w:ascii="Times New Roman" w:hAnsi="Times New Roman" w:cs="Times New Roman"/>
          <w:sz w:val="24"/>
          <w:szCs w:val="24"/>
        </w:rPr>
        <w:t xml:space="preserve"> nutarimu (protokolas Nr.8</w:t>
      </w:r>
      <w:r w:rsidRPr="002D5065">
        <w:rPr>
          <w:rFonts w:ascii="Times New Roman" w:hAnsi="Times New Roman" w:cs="Times New Roman"/>
          <w:sz w:val="24"/>
          <w:szCs w:val="24"/>
        </w:rPr>
        <w:t>)</w:t>
      </w:r>
    </w:p>
    <w:p w:rsidR="00375BC6" w:rsidRDefault="002D5065" w:rsidP="00D77171">
      <w:pPr>
        <w:tabs>
          <w:tab w:val="left" w:pos="720"/>
          <w:tab w:val="left" w:pos="1980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5065">
        <w:rPr>
          <w:rFonts w:ascii="Times New Roman" w:hAnsi="Times New Roman" w:cs="Times New Roman"/>
          <w:sz w:val="24"/>
          <w:szCs w:val="24"/>
        </w:rPr>
        <w:t xml:space="preserve">Gimnazijos tarybos 2015 m. birželio </w:t>
      </w:r>
      <w:proofErr w:type="gramStart"/>
      <w:r w:rsidRPr="002D5065">
        <w:rPr>
          <w:rFonts w:ascii="Times New Roman" w:hAnsi="Times New Roman" w:cs="Times New Roman"/>
          <w:sz w:val="24"/>
          <w:szCs w:val="24"/>
        </w:rPr>
        <w:t>23  d</w:t>
      </w:r>
      <w:proofErr w:type="gramEnd"/>
      <w:r w:rsidRPr="002D5065">
        <w:rPr>
          <w:rFonts w:ascii="Times New Roman" w:hAnsi="Times New Roman" w:cs="Times New Roman"/>
          <w:sz w:val="24"/>
          <w:szCs w:val="24"/>
        </w:rPr>
        <w:t>. posėdžio nutarimu (protokolas Nr.4 )</w:t>
      </w:r>
    </w:p>
    <w:sectPr w:rsidR="00375BC6" w:rsidSect="00D77171">
      <w:pgSz w:w="15840" w:h="12240" w:orient="landscape"/>
      <w:pgMar w:top="42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AD" w:rsidRDefault="009A41AD" w:rsidP="005940F9">
      <w:pPr>
        <w:spacing w:after="0" w:line="240" w:lineRule="auto"/>
      </w:pPr>
      <w:r>
        <w:separator/>
      </w:r>
    </w:p>
  </w:endnote>
  <w:endnote w:type="continuationSeparator" w:id="0">
    <w:p w:rsidR="009A41AD" w:rsidRDefault="009A41AD" w:rsidP="0059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1173"/>
      <w:docPartObj>
        <w:docPartGallery w:val="Page Numbers (Bottom of Page)"/>
        <w:docPartUnique/>
      </w:docPartObj>
    </w:sdtPr>
    <w:sdtContent>
      <w:p w:rsidR="00DB5FB3" w:rsidRDefault="00917721">
        <w:pPr>
          <w:pStyle w:val="Footer"/>
          <w:jc w:val="center"/>
        </w:pPr>
        <w:r>
          <w:fldChar w:fldCharType="begin"/>
        </w:r>
        <w:r w:rsidR="00DB5FB3">
          <w:instrText xml:space="preserve"> PAGE   \* MERGEFORMAT </w:instrText>
        </w:r>
        <w:r>
          <w:fldChar w:fldCharType="separate"/>
        </w:r>
        <w:r w:rsidR="001D35D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5FB3" w:rsidRDefault="00DB5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AD" w:rsidRDefault="009A41AD" w:rsidP="005940F9">
      <w:pPr>
        <w:spacing w:after="0" w:line="240" w:lineRule="auto"/>
      </w:pPr>
      <w:r>
        <w:separator/>
      </w:r>
    </w:p>
  </w:footnote>
  <w:footnote w:type="continuationSeparator" w:id="0">
    <w:p w:rsidR="009A41AD" w:rsidRDefault="009A41AD" w:rsidP="0059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98504A"/>
    <w:lvl w:ilvl="0">
      <w:numFmt w:val="bullet"/>
      <w:lvlText w:val="*"/>
      <w:lvlJc w:val="left"/>
    </w:lvl>
  </w:abstractNum>
  <w:abstractNum w:abstractNumId="1">
    <w:nsid w:val="17C64219"/>
    <w:multiLevelType w:val="multilevel"/>
    <w:tmpl w:val="A5425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autoHyphenation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BC6"/>
    <w:rsid w:val="0008053F"/>
    <w:rsid w:val="000F1045"/>
    <w:rsid w:val="001D35D2"/>
    <w:rsid w:val="002C5BFC"/>
    <w:rsid w:val="002D5065"/>
    <w:rsid w:val="003314FD"/>
    <w:rsid w:val="00333D8E"/>
    <w:rsid w:val="00375BC6"/>
    <w:rsid w:val="003C0762"/>
    <w:rsid w:val="003D4348"/>
    <w:rsid w:val="0042252F"/>
    <w:rsid w:val="00434DA6"/>
    <w:rsid w:val="00483AE1"/>
    <w:rsid w:val="004B49D7"/>
    <w:rsid w:val="00533167"/>
    <w:rsid w:val="0054293A"/>
    <w:rsid w:val="00587D2F"/>
    <w:rsid w:val="00591E9A"/>
    <w:rsid w:val="005940F9"/>
    <w:rsid w:val="0059569F"/>
    <w:rsid w:val="005C066F"/>
    <w:rsid w:val="005F7BBB"/>
    <w:rsid w:val="00656C62"/>
    <w:rsid w:val="006B792C"/>
    <w:rsid w:val="00774E9C"/>
    <w:rsid w:val="00840DC7"/>
    <w:rsid w:val="00873499"/>
    <w:rsid w:val="008A2CEF"/>
    <w:rsid w:val="008D4C8F"/>
    <w:rsid w:val="00917721"/>
    <w:rsid w:val="0093586C"/>
    <w:rsid w:val="009625ED"/>
    <w:rsid w:val="009A41AD"/>
    <w:rsid w:val="009A796B"/>
    <w:rsid w:val="009B2D62"/>
    <w:rsid w:val="009D03B3"/>
    <w:rsid w:val="009E513F"/>
    <w:rsid w:val="00A62F32"/>
    <w:rsid w:val="00A6321E"/>
    <w:rsid w:val="00A84097"/>
    <w:rsid w:val="00AA339A"/>
    <w:rsid w:val="00B745CA"/>
    <w:rsid w:val="00B87A80"/>
    <w:rsid w:val="00BC39D5"/>
    <w:rsid w:val="00BD4E42"/>
    <w:rsid w:val="00C20E7D"/>
    <w:rsid w:val="00CF5DD0"/>
    <w:rsid w:val="00D226EC"/>
    <w:rsid w:val="00D77171"/>
    <w:rsid w:val="00D955A0"/>
    <w:rsid w:val="00DA4822"/>
    <w:rsid w:val="00DB5FB3"/>
    <w:rsid w:val="00DD7C12"/>
    <w:rsid w:val="00E419A5"/>
    <w:rsid w:val="00E8241C"/>
    <w:rsid w:val="00ED5407"/>
    <w:rsid w:val="00EE63C5"/>
    <w:rsid w:val="00F03309"/>
    <w:rsid w:val="00F7587B"/>
    <w:rsid w:val="00FA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BC6"/>
    <w:pPr>
      <w:ind w:left="720"/>
      <w:contextualSpacing/>
    </w:pPr>
  </w:style>
  <w:style w:type="character" w:styleId="Hyperlink">
    <w:name w:val="Hyperlink"/>
    <w:basedOn w:val="DefaultParagraphFont"/>
    <w:rsid w:val="00D226E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14FD"/>
  </w:style>
  <w:style w:type="paragraph" w:styleId="Header">
    <w:name w:val="header"/>
    <w:basedOn w:val="Normal"/>
    <w:link w:val="HeaderChar"/>
    <w:uiPriority w:val="99"/>
    <w:semiHidden/>
    <w:unhideWhenUsed/>
    <w:rsid w:val="005940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0F9"/>
  </w:style>
  <w:style w:type="paragraph" w:styleId="Footer">
    <w:name w:val="footer"/>
    <w:basedOn w:val="Normal"/>
    <w:link w:val="FooterChar"/>
    <w:uiPriority w:val="99"/>
    <w:unhideWhenUsed/>
    <w:rsid w:val="005940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95105&amp;b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00CE-C2D7-4731-A014-466DE1E5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4946</Words>
  <Characters>28196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Vytukas</cp:lastModifiedBy>
  <cp:revision>4</cp:revision>
  <cp:lastPrinted>2015-10-09T13:32:00Z</cp:lastPrinted>
  <dcterms:created xsi:type="dcterms:W3CDTF">2015-11-03T13:34:00Z</dcterms:created>
  <dcterms:modified xsi:type="dcterms:W3CDTF">2015-11-03T19:50:00Z</dcterms:modified>
</cp:coreProperties>
</file>